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C2889" w14:textId="77777777" w:rsidR="00A6094F" w:rsidRPr="006A5825" w:rsidRDefault="00A6094F" w:rsidP="00A6094F">
      <w:pPr>
        <w:rPr>
          <w:rFonts w:ascii="Calibri" w:hAnsi="Calibri" w:cs="Calibri"/>
          <w:b/>
          <w:bCs/>
          <w:kern w:val="0"/>
          <w:sz w:val="22"/>
          <w:szCs w:val="22"/>
        </w:rPr>
      </w:pPr>
      <w:r w:rsidRPr="006A5825">
        <w:rPr>
          <w:rFonts w:ascii="Calibri" w:hAnsi="Calibri" w:cs="Calibri"/>
          <w:b/>
          <w:bCs/>
          <w:kern w:val="0"/>
          <w:sz w:val="22"/>
          <w:szCs w:val="22"/>
        </w:rPr>
        <w:t xml:space="preserve">Workload Guidelines </w:t>
      </w:r>
    </w:p>
    <w:p w14:paraId="347C0C27" w14:textId="77777777" w:rsidR="00A6094F" w:rsidRPr="006A5825" w:rsidRDefault="00A6094F" w:rsidP="00A6094F">
      <w:pPr>
        <w:rPr>
          <w:rFonts w:ascii="Calibri" w:hAnsi="Calibri" w:cs="Calibri"/>
          <w:b/>
          <w:bCs/>
          <w:kern w:val="0"/>
          <w:sz w:val="22"/>
          <w:szCs w:val="22"/>
        </w:rPr>
      </w:pPr>
      <w:r w:rsidRPr="006A5825">
        <w:rPr>
          <w:rFonts w:ascii="Calibri" w:hAnsi="Calibri" w:cs="Calibri"/>
          <w:b/>
          <w:bCs/>
          <w:kern w:val="0"/>
          <w:sz w:val="22"/>
          <w:szCs w:val="22"/>
        </w:rPr>
        <w:t>Department of History</w:t>
      </w:r>
    </w:p>
    <w:p w14:paraId="771B191F" w14:textId="77777777" w:rsidR="00A6094F" w:rsidRPr="006A5825" w:rsidRDefault="00A6094F" w:rsidP="00A6094F">
      <w:pPr>
        <w:rPr>
          <w:rFonts w:ascii="Calibri" w:hAnsi="Calibri" w:cs="Calibri"/>
          <w:b/>
          <w:bCs/>
          <w:kern w:val="0"/>
          <w:sz w:val="22"/>
          <w:szCs w:val="22"/>
        </w:rPr>
      </w:pPr>
    </w:p>
    <w:p w14:paraId="659FA03D" w14:textId="77777777" w:rsidR="00A6094F" w:rsidRPr="006A5825" w:rsidRDefault="00A6094F" w:rsidP="00A6094F">
      <w:pPr>
        <w:rPr>
          <w:rFonts w:ascii="Calibri" w:hAnsi="Calibri" w:cs="Calibri"/>
          <w:kern w:val="0"/>
          <w:sz w:val="22"/>
          <w:szCs w:val="22"/>
        </w:rPr>
      </w:pPr>
    </w:p>
    <w:p w14:paraId="018747E9" w14:textId="77777777" w:rsidR="00A6094F" w:rsidRPr="006A5825" w:rsidRDefault="00A6094F" w:rsidP="00A6094F">
      <w:pPr>
        <w:rPr>
          <w:rFonts w:ascii="Calibri" w:hAnsi="Calibri" w:cs="Calibri"/>
          <w:b/>
          <w:bCs/>
          <w:kern w:val="0"/>
          <w:sz w:val="22"/>
          <w:szCs w:val="22"/>
          <w:u w:val="single"/>
        </w:rPr>
      </w:pPr>
      <w:r w:rsidRPr="006A5825">
        <w:rPr>
          <w:rFonts w:ascii="Calibri" w:hAnsi="Calibri" w:cs="Calibri"/>
          <w:b/>
          <w:bCs/>
          <w:kern w:val="0"/>
          <w:sz w:val="22"/>
          <w:szCs w:val="22"/>
          <w:u w:val="single"/>
        </w:rPr>
        <w:t>Basis for Workload Decisions</w:t>
      </w:r>
    </w:p>
    <w:p w14:paraId="6BA4894E" w14:textId="22C8B271" w:rsidR="00F7302B" w:rsidRDefault="00F7302B" w:rsidP="00A6094F">
      <w:pPr>
        <w:rPr>
          <w:rFonts w:ascii="Calibri" w:hAnsi="Calibri" w:cs="Calibri"/>
          <w:kern w:val="0"/>
          <w:sz w:val="22"/>
          <w:szCs w:val="22"/>
        </w:rPr>
      </w:pPr>
      <w:r w:rsidRPr="006A5825">
        <w:rPr>
          <w:rFonts w:ascii="Calibri" w:hAnsi="Calibri" w:cs="Calibri"/>
          <w:kern w:val="0"/>
          <w:sz w:val="22"/>
          <w:szCs w:val="22"/>
        </w:rPr>
        <w:t xml:space="preserve">The department chair is responsible for assigning faculty workloads. The department chair will do so under the guidelines laid out in this document and in </w:t>
      </w:r>
      <w:hyperlink r:id="rId5" w:history="1">
        <w:r w:rsidRPr="006A5825">
          <w:rPr>
            <w:rStyle w:val="Hyperlink"/>
            <w:rFonts w:ascii="Calibri" w:hAnsi="Calibri" w:cs="Calibri"/>
            <w:kern w:val="0"/>
            <w:sz w:val="22"/>
            <w:szCs w:val="22"/>
          </w:rPr>
          <w:t>UNT Policy 06.027, Academic Workload</w:t>
        </w:r>
      </w:hyperlink>
      <w:r w:rsidRPr="006A5825">
        <w:rPr>
          <w:rFonts w:ascii="Calibri" w:hAnsi="Calibri" w:cs="Calibri"/>
          <w:kern w:val="0"/>
          <w:sz w:val="22"/>
          <w:szCs w:val="22"/>
        </w:rPr>
        <w:t xml:space="preserve">. Faculty members may request workload adjustments during annual consultations with the chair. </w:t>
      </w:r>
    </w:p>
    <w:p w14:paraId="4F8E57E6" w14:textId="77777777" w:rsidR="00F7302B" w:rsidRDefault="00F7302B" w:rsidP="00A6094F">
      <w:pPr>
        <w:rPr>
          <w:rFonts w:ascii="Calibri" w:hAnsi="Calibri" w:cs="Calibri"/>
          <w:kern w:val="0"/>
          <w:sz w:val="22"/>
          <w:szCs w:val="22"/>
        </w:rPr>
      </w:pPr>
    </w:p>
    <w:p w14:paraId="3DDE574A" w14:textId="1ED93F98" w:rsidR="00A6094F" w:rsidRPr="006A5825" w:rsidRDefault="00A6094F" w:rsidP="00A6094F">
      <w:pPr>
        <w:rPr>
          <w:rFonts w:ascii="Calibri" w:hAnsi="Calibri" w:cs="Calibri"/>
          <w:kern w:val="0"/>
          <w:sz w:val="22"/>
          <w:szCs w:val="22"/>
        </w:rPr>
      </w:pPr>
      <w:r w:rsidRPr="006A5825">
        <w:rPr>
          <w:rFonts w:ascii="Calibri" w:hAnsi="Calibri" w:cs="Calibri"/>
          <w:kern w:val="0"/>
          <w:sz w:val="22"/>
          <w:szCs w:val="22"/>
        </w:rPr>
        <w:t>In assigning workloads, the Department of History’s overarching principle is that each individual faculty member should do what they do best while contributing to the department’s goals. The department thrives because of our collective excellent teaching and mentoring, impactful service, and top-tier research and scholarship. All faculty must contribute to this shared project</w:t>
      </w:r>
      <w:r w:rsidR="0089104E">
        <w:rPr>
          <w:rFonts w:ascii="Calibri" w:hAnsi="Calibri" w:cs="Calibri"/>
          <w:kern w:val="0"/>
          <w:sz w:val="22"/>
          <w:szCs w:val="22"/>
        </w:rPr>
        <w:t>. The amount of their contributions that fall in any given area, though, may fluctuate over the course of ones career. W</w:t>
      </w:r>
      <w:r w:rsidRPr="006A5825">
        <w:rPr>
          <w:rFonts w:ascii="Calibri" w:hAnsi="Calibri" w:cs="Calibri"/>
          <w:kern w:val="0"/>
          <w:sz w:val="22"/>
          <w:szCs w:val="22"/>
        </w:rPr>
        <w:t xml:space="preserve">orkload may be reconfigured to reflect this. </w:t>
      </w:r>
    </w:p>
    <w:p w14:paraId="15C77AB8" w14:textId="77777777" w:rsidR="00A6094F" w:rsidRPr="006A5825" w:rsidRDefault="00A6094F" w:rsidP="00A6094F">
      <w:pPr>
        <w:rPr>
          <w:rFonts w:ascii="Calibri" w:hAnsi="Calibri" w:cs="Calibri"/>
          <w:kern w:val="0"/>
          <w:sz w:val="22"/>
          <w:szCs w:val="22"/>
        </w:rPr>
      </w:pPr>
    </w:p>
    <w:p w14:paraId="20BB92B4" w14:textId="77777777" w:rsidR="00A6094F" w:rsidRDefault="00A6094F" w:rsidP="00A6094F">
      <w:pPr>
        <w:rPr>
          <w:rFonts w:ascii="Calibri" w:hAnsi="Calibri" w:cs="Calibri"/>
          <w:kern w:val="0"/>
          <w:sz w:val="22"/>
          <w:szCs w:val="22"/>
        </w:rPr>
      </w:pPr>
      <w:r w:rsidRPr="006A5825">
        <w:rPr>
          <w:rFonts w:ascii="Calibri" w:hAnsi="Calibri" w:cs="Calibri"/>
          <w:kern w:val="0"/>
          <w:sz w:val="22"/>
          <w:szCs w:val="22"/>
        </w:rPr>
        <w:t xml:space="preserve">The idea of workload percentages can feel abstract, so it may be helpful to apply them to a 40-hour work week to make them more concrete. In this model, something that is 10% of one’s workload should average out to about 4 hours of labor per week (though some weeks may be more, others less). Something that is 20% will take about 8 hours a week, something that is 30% will take 12 hours a week, and so on. </w:t>
      </w:r>
    </w:p>
    <w:p w14:paraId="25617809" w14:textId="77777777" w:rsidR="00F7302B" w:rsidRDefault="00F7302B" w:rsidP="00A6094F">
      <w:pPr>
        <w:rPr>
          <w:rFonts w:ascii="Calibri" w:hAnsi="Calibri" w:cs="Calibri"/>
          <w:kern w:val="0"/>
          <w:sz w:val="22"/>
          <w:szCs w:val="22"/>
        </w:rPr>
      </w:pPr>
    </w:p>
    <w:p w14:paraId="5CEB9C64" w14:textId="31222D77" w:rsidR="00F7302B" w:rsidRPr="006A5825" w:rsidRDefault="00F7302B" w:rsidP="00A6094F">
      <w:pPr>
        <w:rPr>
          <w:rFonts w:ascii="Calibri" w:hAnsi="Calibri" w:cs="Calibri"/>
          <w:kern w:val="0"/>
          <w:sz w:val="22"/>
          <w:szCs w:val="22"/>
        </w:rPr>
      </w:pPr>
      <w:r>
        <w:rPr>
          <w:rFonts w:ascii="Calibri" w:hAnsi="Calibri" w:cs="Calibri"/>
          <w:kern w:val="0"/>
          <w:sz w:val="22"/>
          <w:szCs w:val="22"/>
        </w:rPr>
        <w:t>This policy defines research, service, administration, and teaching in a manner consistent with UNT Policy 06.027.</w:t>
      </w:r>
    </w:p>
    <w:p w14:paraId="56F7BD29" w14:textId="77777777" w:rsidR="00A6094F" w:rsidRPr="006A5825" w:rsidRDefault="00A6094F" w:rsidP="00A6094F">
      <w:pPr>
        <w:rPr>
          <w:rFonts w:ascii="Calibri" w:hAnsi="Calibri" w:cs="Calibri"/>
          <w:kern w:val="0"/>
          <w:sz w:val="22"/>
          <w:szCs w:val="22"/>
        </w:rPr>
      </w:pPr>
    </w:p>
    <w:p w14:paraId="7920A974" w14:textId="77777777" w:rsidR="00A6094F" w:rsidRPr="006A5825" w:rsidRDefault="00A6094F" w:rsidP="00A6094F">
      <w:pPr>
        <w:rPr>
          <w:rFonts w:ascii="Calibri" w:hAnsi="Calibri" w:cs="Calibri"/>
          <w:b/>
          <w:bCs/>
          <w:kern w:val="0"/>
          <w:sz w:val="22"/>
          <w:szCs w:val="22"/>
          <w:u w:val="single"/>
        </w:rPr>
      </w:pPr>
      <w:r w:rsidRPr="006A5825">
        <w:rPr>
          <w:rFonts w:ascii="Calibri" w:hAnsi="Calibri" w:cs="Calibri"/>
          <w:b/>
          <w:bCs/>
          <w:kern w:val="0"/>
          <w:sz w:val="22"/>
          <w:szCs w:val="22"/>
          <w:u w:val="single"/>
        </w:rPr>
        <w:t xml:space="preserve">Standard Workloads for Tenure-System Faculty in the Department of History </w:t>
      </w:r>
    </w:p>
    <w:p w14:paraId="7511C5FE" w14:textId="77777777" w:rsidR="00A6094F" w:rsidRPr="006A5825" w:rsidRDefault="00A6094F" w:rsidP="00A6094F">
      <w:pPr>
        <w:rPr>
          <w:rFonts w:ascii="Calibri" w:hAnsi="Calibri" w:cs="Calibri"/>
          <w:kern w:val="0"/>
          <w:sz w:val="22"/>
          <w:szCs w:val="22"/>
        </w:rPr>
      </w:pPr>
      <w:r w:rsidRPr="006A5825">
        <w:rPr>
          <w:rFonts w:ascii="Calibri" w:hAnsi="Calibri" w:cs="Calibri"/>
          <w:kern w:val="0"/>
          <w:sz w:val="22"/>
          <w:szCs w:val="22"/>
        </w:rPr>
        <w:t xml:space="preserve">Standard workload assignments for tenure system faculty in the Department of History will fall into one of the following categories: </w:t>
      </w:r>
    </w:p>
    <w:p w14:paraId="45E58F0B" w14:textId="77777777" w:rsidR="00A6094F" w:rsidRPr="006A5825" w:rsidRDefault="00A6094F" w:rsidP="00A6094F">
      <w:pPr>
        <w:pStyle w:val="ListParagraph"/>
        <w:numPr>
          <w:ilvl w:val="0"/>
          <w:numId w:val="3"/>
        </w:numPr>
        <w:rPr>
          <w:rFonts w:ascii="Calibri" w:hAnsi="Calibri" w:cs="Calibri"/>
          <w:kern w:val="0"/>
          <w:sz w:val="22"/>
          <w:szCs w:val="22"/>
        </w:rPr>
      </w:pPr>
      <w:r w:rsidRPr="006A5825">
        <w:rPr>
          <w:rFonts w:ascii="Calibri" w:hAnsi="Calibri" w:cs="Calibri"/>
          <w:kern w:val="0"/>
          <w:sz w:val="22"/>
          <w:szCs w:val="22"/>
        </w:rPr>
        <w:t xml:space="preserve">Research emphasis </w:t>
      </w:r>
    </w:p>
    <w:p w14:paraId="12AD76E2" w14:textId="77777777" w:rsidR="00A6094F" w:rsidRPr="006A5825" w:rsidRDefault="00A6094F" w:rsidP="00A6094F">
      <w:pPr>
        <w:pStyle w:val="ListParagraph"/>
        <w:numPr>
          <w:ilvl w:val="0"/>
          <w:numId w:val="3"/>
        </w:numPr>
        <w:rPr>
          <w:rFonts w:ascii="Calibri" w:hAnsi="Calibri" w:cs="Calibri"/>
          <w:kern w:val="0"/>
          <w:sz w:val="22"/>
          <w:szCs w:val="22"/>
        </w:rPr>
      </w:pPr>
      <w:r w:rsidRPr="006A5825">
        <w:rPr>
          <w:rFonts w:ascii="Calibri" w:hAnsi="Calibri" w:cs="Calibri"/>
          <w:kern w:val="0"/>
          <w:sz w:val="22"/>
          <w:szCs w:val="22"/>
        </w:rPr>
        <w:t xml:space="preserve">Administration emphasis </w:t>
      </w:r>
    </w:p>
    <w:p w14:paraId="23B6866F" w14:textId="77777777" w:rsidR="00A6094F" w:rsidRPr="006A5825" w:rsidRDefault="00A6094F" w:rsidP="00A6094F">
      <w:pPr>
        <w:rPr>
          <w:rFonts w:ascii="Calibri" w:hAnsi="Calibri" w:cs="Calibri"/>
          <w:kern w:val="0"/>
          <w:sz w:val="22"/>
          <w:szCs w:val="22"/>
        </w:rPr>
      </w:pPr>
    </w:p>
    <w:p w14:paraId="2C500AFF" w14:textId="77777777" w:rsidR="00A6094F" w:rsidRPr="006A5825" w:rsidRDefault="00A6094F" w:rsidP="00A6094F">
      <w:pPr>
        <w:rPr>
          <w:rFonts w:ascii="Calibri" w:hAnsi="Calibri" w:cs="Calibri"/>
          <w:kern w:val="0"/>
          <w:sz w:val="22"/>
          <w:szCs w:val="22"/>
        </w:rPr>
      </w:pPr>
      <w:r w:rsidRPr="006A5825">
        <w:rPr>
          <w:rFonts w:ascii="Calibri" w:hAnsi="Calibri" w:cs="Calibri"/>
          <w:b/>
          <w:bCs/>
          <w:kern w:val="0"/>
          <w:sz w:val="22"/>
          <w:szCs w:val="22"/>
        </w:rPr>
        <w:t>Research emphasis</w:t>
      </w:r>
      <w:r w:rsidRPr="006A5825">
        <w:rPr>
          <w:rFonts w:ascii="Calibri" w:hAnsi="Calibri" w:cs="Calibri"/>
          <w:kern w:val="0"/>
          <w:sz w:val="22"/>
          <w:szCs w:val="22"/>
        </w:rPr>
        <w:t xml:space="preserve"> (Standard for tenure-track assistant professors and for research-productive tenured associate and full professors) </w:t>
      </w:r>
    </w:p>
    <w:p w14:paraId="15C294BB" w14:textId="77777777" w:rsidR="00A6094F" w:rsidRPr="006A5825" w:rsidRDefault="00A6094F" w:rsidP="00A6094F">
      <w:pPr>
        <w:rPr>
          <w:rFonts w:ascii="Calibri" w:hAnsi="Calibri" w:cs="Calibri"/>
          <w:kern w:val="0"/>
          <w:sz w:val="22"/>
          <w:szCs w:val="22"/>
        </w:rPr>
      </w:pPr>
    </w:p>
    <w:p w14:paraId="64D09755" w14:textId="77777777" w:rsidR="00A6094F" w:rsidRPr="006A5825" w:rsidRDefault="00A6094F" w:rsidP="00A6094F">
      <w:pPr>
        <w:rPr>
          <w:rFonts w:ascii="Calibri" w:hAnsi="Calibri" w:cs="Calibri"/>
          <w:kern w:val="0"/>
          <w:sz w:val="22"/>
          <w:szCs w:val="22"/>
        </w:rPr>
      </w:pPr>
      <w:r w:rsidRPr="006A5825">
        <w:rPr>
          <w:rFonts w:ascii="Calibri" w:hAnsi="Calibri" w:cs="Calibri"/>
          <w:kern w:val="0"/>
          <w:sz w:val="22"/>
          <w:szCs w:val="22"/>
        </w:rPr>
        <w:t xml:space="preserve">2-2 course teaching load </w:t>
      </w:r>
      <w:r w:rsidRPr="006A5825">
        <w:rPr>
          <w:rFonts w:ascii="Calibri" w:hAnsi="Calibri" w:cs="Calibri"/>
          <w:kern w:val="0"/>
          <w:sz w:val="22"/>
          <w:szCs w:val="22"/>
        </w:rPr>
        <w:tab/>
      </w:r>
      <w:r w:rsidRPr="006A5825">
        <w:rPr>
          <w:rFonts w:ascii="Calibri" w:hAnsi="Calibri" w:cs="Calibri"/>
          <w:kern w:val="0"/>
          <w:sz w:val="22"/>
          <w:szCs w:val="22"/>
        </w:rPr>
        <w:tab/>
      </w:r>
      <w:r w:rsidRPr="006A5825">
        <w:rPr>
          <w:rFonts w:ascii="Calibri" w:hAnsi="Calibri" w:cs="Calibri"/>
          <w:kern w:val="0"/>
          <w:sz w:val="22"/>
          <w:szCs w:val="22"/>
        </w:rPr>
        <w:tab/>
        <w:t xml:space="preserve">40% </w:t>
      </w:r>
    </w:p>
    <w:p w14:paraId="314A8A12" w14:textId="77777777" w:rsidR="00A6094F" w:rsidRPr="006A5825" w:rsidRDefault="00A6094F" w:rsidP="00A6094F">
      <w:pPr>
        <w:rPr>
          <w:rFonts w:ascii="Calibri" w:hAnsi="Calibri" w:cs="Calibri"/>
          <w:kern w:val="0"/>
          <w:sz w:val="22"/>
          <w:szCs w:val="22"/>
        </w:rPr>
      </w:pPr>
      <w:r w:rsidRPr="006A5825">
        <w:rPr>
          <w:rFonts w:ascii="Calibri" w:hAnsi="Calibri" w:cs="Calibri"/>
          <w:kern w:val="0"/>
          <w:sz w:val="22"/>
          <w:szCs w:val="22"/>
        </w:rPr>
        <w:t xml:space="preserve">Research </w:t>
      </w:r>
      <w:r w:rsidRPr="006A5825">
        <w:rPr>
          <w:rFonts w:ascii="Calibri" w:hAnsi="Calibri" w:cs="Calibri"/>
          <w:kern w:val="0"/>
          <w:sz w:val="22"/>
          <w:szCs w:val="22"/>
        </w:rPr>
        <w:tab/>
      </w:r>
      <w:r w:rsidRPr="006A5825">
        <w:rPr>
          <w:rFonts w:ascii="Calibri" w:hAnsi="Calibri" w:cs="Calibri"/>
          <w:kern w:val="0"/>
          <w:sz w:val="22"/>
          <w:szCs w:val="22"/>
        </w:rPr>
        <w:tab/>
      </w:r>
      <w:r w:rsidRPr="006A5825">
        <w:rPr>
          <w:rFonts w:ascii="Calibri" w:hAnsi="Calibri" w:cs="Calibri"/>
          <w:kern w:val="0"/>
          <w:sz w:val="22"/>
          <w:szCs w:val="22"/>
        </w:rPr>
        <w:tab/>
      </w:r>
      <w:r w:rsidRPr="006A5825">
        <w:rPr>
          <w:rFonts w:ascii="Calibri" w:hAnsi="Calibri" w:cs="Calibri"/>
          <w:kern w:val="0"/>
          <w:sz w:val="22"/>
          <w:szCs w:val="22"/>
        </w:rPr>
        <w:tab/>
      </w:r>
      <w:r w:rsidRPr="006A5825">
        <w:rPr>
          <w:rFonts w:ascii="Calibri" w:hAnsi="Calibri" w:cs="Calibri"/>
          <w:kern w:val="0"/>
          <w:sz w:val="22"/>
          <w:szCs w:val="22"/>
        </w:rPr>
        <w:tab/>
        <w:t xml:space="preserve">40-50% </w:t>
      </w:r>
    </w:p>
    <w:p w14:paraId="139FA77D" w14:textId="6B315FA4" w:rsidR="00A6094F" w:rsidRPr="006A5825" w:rsidRDefault="00A6094F" w:rsidP="00A6094F">
      <w:pPr>
        <w:rPr>
          <w:rFonts w:ascii="Calibri" w:hAnsi="Calibri" w:cs="Calibri"/>
          <w:kern w:val="0"/>
          <w:sz w:val="22"/>
          <w:szCs w:val="22"/>
        </w:rPr>
      </w:pPr>
      <w:r w:rsidRPr="006A5825">
        <w:rPr>
          <w:rFonts w:ascii="Calibri" w:hAnsi="Calibri" w:cs="Calibri"/>
          <w:kern w:val="0"/>
          <w:sz w:val="22"/>
          <w:szCs w:val="22"/>
        </w:rPr>
        <w:t xml:space="preserve">Service/administration </w:t>
      </w:r>
      <w:r w:rsidRPr="006A5825">
        <w:rPr>
          <w:rFonts w:ascii="Calibri" w:hAnsi="Calibri" w:cs="Calibri"/>
          <w:kern w:val="0"/>
          <w:sz w:val="22"/>
          <w:szCs w:val="22"/>
        </w:rPr>
        <w:tab/>
      </w:r>
      <w:r w:rsidRPr="006A5825">
        <w:rPr>
          <w:rFonts w:ascii="Calibri" w:hAnsi="Calibri" w:cs="Calibri"/>
          <w:kern w:val="0"/>
          <w:sz w:val="22"/>
          <w:szCs w:val="22"/>
        </w:rPr>
        <w:tab/>
      </w:r>
      <w:r w:rsidRPr="006A5825">
        <w:rPr>
          <w:rFonts w:ascii="Calibri" w:hAnsi="Calibri" w:cs="Calibri"/>
          <w:kern w:val="0"/>
          <w:sz w:val="22"/>
          <w:szCs w:val="22"/>
        </w:rPr>
        <w:tab/>
      </w:r>
      <w:r w:rsidR="006A5825">
        <w:rPr>
          <w:rFonts w:ascii="Calibri" w:hAnsi="Calibri" w:cs="Calibri"/>
          <w:kern w:val="0"/>
          <w:sz w:val="22"/>
          <w:szCs w:val="22"/>
        </w:rPr>
        <w:tab/>
      </w:r>
      <w:r w:rsidRPr="006A5825">
        <w:rPr>
          <w:rFonts w:ascii="Calibri" w:hAnsi="Calibri" w:cs="Calibri"/>
          <w:kern w:val="0"/>
          <w:sz w:val="22"/>
          <w:szCs w:val="22"/>
        </w:rPr>
        <w:t xml:space="preserve">10-20% </w:t>
      </w:r>
    </w:p>
    <w:p w14:paraId="6EE91CCE" w14:textId="77777777" w:rsidR="00A6094F" w:rsidRPr="006A5825" w:rsidRDefault="00A6094F" w:rsidP="00A6094F">
      <w:pPr>
        <w:rPr>
          <w:rFonts w:ascii="Calibri" w:hAnsi="Calibri" w:cs="Calibri"/>
          <w:kern w:val="0"/>
          <w:sz w:val="22"/>
          <w:szCs w:val="22"/>
        </w:rPr>
      </w:pPr>
    </w:p>
    <w:p w14:paraId="00030619" w14:textId="08CEF0BD" w:rsidR="00A6094F" w:rsidRPr="006A5825" w:rsidRDefault="00A6094F" w:rsidP="00A6094F">
      <w:pPr>
        <w:rPr>
          <w:rFonts w:ascii="Calibri" w:hAnsi="Calibri" w:cs="Calibri"/>
          <w:kern w:val="0"/>
          <w:sz w:val="22"/>
          <w:szCs w:val="22"/>
        </w:rPr>
      </w:pPr>
      <w:r w:rsidRPr="006A5825">
        <w:rPr>
          <w:rFonts w:ascii="Calibri" w:hAnsi="Calibri" w:cs="Calibri"/>
          <w:kern w:val="0"/>
          <w:sz w:val="22"/>
          <w:szCs w:val="22"/>
        </w:rPr>
        <w:t>Tenure track faculty will typically be given 10% service workloads to help facilitate their path to tenure. A 20% service load implies significantly more service than average.</w:t>
      </w:r>
    </w:p>
    <w:p w14:paraId="0F0D98EB" w14:textId="77777777" w:rsidR="00A6094F" w:rsidRPr="006A5825" w:rsidRDefault="00A6094F" w:rsidP="00A6094F">
      <w:pPr>
        <w:rPr>
          <w:rFonts w:ascii="Calibri" w:hAnsi="Calibri" w:cs="Calibri"/>
          <w:kern w:val="0"/>
          <w:sz w:val="22"/>
          <w:szCs w:val="22"/>
        </w:rPr>
      </w:pPr>
    </w:p>
    <w:p w14:paraId="17B02CD1" w14:textId="77777777" w:rsidR="00A6094F" w:rsidRPr="006A5825" w:rsidRDefault="00A6094F" w:rsidP="00A6094F">
      <w:pPr>
        <w:rPr>
          <w:rFonts w:ascii="Calibri" w:hAnsi="Calibri" w:cs="Calibri"/>
          <w:kern w:val="0"/>
          <w:sz w:val="22"/>
          <w:szCs w:val="22"/>
        </w:rPr>
      </w:pPr>
      <w:r w:rsidRPr="006A5825">
        <w:rPr>
          <w:rFonts w:ascii="Calibri" w:hAnsi="Calibri" w:cs="Calibri"/>
          <w:b/>
          <w:bCs/>
          <w:kern w:val="0"/>
          <w:sz w:val="22"/>
          <w:szCs w:val="22"/>
        </w:rPr>
        <w:t>Administration emphasis</w:t>
      </w:r>
      <w:r w:rsidRPr="006A5825">
        <w:rPr>
          <w:rFonts w:ascii="Calibri" w:hAnsi="Calibri" w:cs="Calibri"/>
          <w:kern w:val="0"/>
          <w:sz w:val="22"/>
          <w:szCs w:val="22"/>
        </w:rPr>
        <w:t xml:space="preserve"> (available only to faculty serving as Department Chair or another administrative assignment from the Dean or the Provost) </w:t>
      </w:r>
    </w:p>
    <w:p w14:paraId="5CB40D25" w14:textId="77777777" w:rsidR="00A6094F" w:rsidRPr="006A5825" w:rsidRDefault="00A6094F" w:rsidP="00A6094F">
      <w:pPr>
        <w:rPr>
          <w:rFonts w:ascii="Calibri" w:hAnsi="Calibri" w:cs="Calibri"/>
          <w:kern w:val="0"/>
          <w:sz w:val="22"/>
          <w:szCs w:val="22"/>
        </w:rPr>
      </w:pPr>
    </w:p>
    <w:p w14:paraId="026931D2" w14:textId="05F63504" w:rsidR="00A6094F" w:rsidRPr="006A5825" w:rsidRDefault="00A6094F" w:rsidP="00A6094F">
      <w:pPr>
        <w:rPr>
          <w:rFonts w:ascii="Calibri" w:hAnsi="Calibri" w:cs="Calibri"/>
          <w:kern w:val="0"/>
          <w:sz w:val="22"/>
          <w:szCs w:val="22"/>
        </w:rPr>
      </w:pPr>
      <w:r w:rsidRPr="006A5825">
        <w:rPr>
          <w:rFonts w:ascii="Calibri" w:hAnsi="Calibri" w:cs="Calibri"/>
          <w:kern w:val="0"/>
          <w:sz w:val="22"/>
          <w:szCs w:val="22"/>
        </w:rPr>
        <w:t xml:space="preserve">Service/Administration </w:t>
      </w:r>
      <w:r w:rsidRPr="006A5825">
        <w:rPr>
          <w:rFonts w:ascii="Calibri" w:hAnsi="Calibri" w:cs="Calibri"/>
          <w:kern w:val="0"/>
          <w:sz w:val="22"/>
          <w:szCs w:val="22"/>
        </w:rPr>
        <w:tab/>
      </w:r>
      <w:r w:rsidRPr="006A5825">
        <w:rPr>
          <w:rFonts w:ascii="Calibri" w:hAnsi="Calibri" w:cs="Calibri"/>
          <w:kern w:val="0"/>
          <w:sz w:val="22"/>
          <w:szCs w:val="22"/>
        </w:rPr>
        <w:tab/>
      </w:r>
      <w:r w:rsidRPr="006A5825">
        <w:rPr>
          <w:rFonts w:ascii="Calibri" w:hAnsi="Calibri" w:cs="Calibri"/>
          <w:kern w:val="0"/>
          <w:sz w:val="22"/>
          <w:szCs w:val="22"/>
        </w:rPr>
        <w:tab/>
      </w:r>
      <w:r w:rsidR="006A5825">
        <w:rPr>
          <w:rFonts w:ascii="Calibri" w:hAnsi="Calibri" w:cs="Calibri"/>
          <w:kern w:val="0"/>
          <w:sz w:val="22"/>
          <w:szCs w:val="22"/>
        </w:rPr>
        <w:tab/>
      </w:r>
      <w:r w:rsidRPr="006A5825">
        <w:rPr>
          <w:rFonts w:ascii="Calibri" w:hAnsi="Calibri" w:cs="Calibri"/>
          <w:kern w:val="0"/>
          <w:sz w:val="22"/>
          <w:szCs w:val="22"/>
        </w:rPr>
        <w:t xml:space="preserve">60-90% </w:t>
      </w:r>
    </w:p>
    <w:p w14:paraId="18A90821" w14:textId="77777777" w:rsidR="00A6094F" w:rsidRPr="006A5825" w:rsidRDefault="00A6094F" w:rsidP="00A6094F">
      <w:pPr>
        <w:rPr>
          <w:rFonts w:ascii="Calibri" w:hAnsi="Calibri" w:cs="Calibri"/>
          <w:kern w:val="0"/>
          <w:sz w:val="22"/>
          <w:szCs w:val="22"/>
        </w:rPr>
      </w:pPr>
      <w:r w:rsidRPr="006A5825">
        <w:rPr>
          <w:rFonts w:ascii="Calibri" w:hAnsi="Calibri" w:cs="Calibri"/>
          <w:kern w:val="0"/>
          <w:sz w:val="22"/>
          <w:szCs w:val="22"/>
        </w:rPr>
        <w:t xml:space="preserve">0-0, 1-0 or 1-1 course teaching load </w:t>
      </w:r>
      <w:r w:rsidRPr="006A5825">
        <w:rPr>
          <w:rFonts w:ascii="Calibri" w:hAnsi="Calibri" w:cs="Calibri"/>
          <w:kern w:val="0"/>
          <w:sz w:val="22"/>
          <w:szCs w:val="22"/>
        </w:rPr>
        <w:tab/>
      </w:r>
      <w:r w:rsidRPr="006A5825">
        <w:rPr>
          <w:rFonts w:ascii="Calibri" w:hAnsi="Calibri" w:cs="Calibri"/>
          <w:kern w:val="0"/>
          <w:sz w:val="22"/>
          <w:szCs w:val="22"/>
        </w:rPr>
        <w:tab/>
        <w:t xml:space="preserve">0-20% </w:t>
      </w:r>
    </w:p>
    <w:p w14:paraId="27A98E5E" w14:textId="77777777" w:rsidR="00A6094F" w:rsidRPr="006A5825" w:rsidRDefault="00A6094F" w:rsidP="00A6094F">
      <w:pPr>
        <w:rPr>
          <w:rFonts w:ascii="Calibri" w:hAnsi="Calibri" w:cs="Calibri"/>
          <w:kern w:val="0"/>
          <w:sz w:val="22"/>
          <w:szCs w:val="22"/>
        </w:rPr>
      </w:pPr>
      <w:r w:rsidRPr="006A5825">
        <w:rPr>
          <w:rFonts w:ascii="Calibri" w:hAnsi="Calibri" w:cs="Calibri"/>
          <w:kern w:val="0"/>
          <w:sz w:val="22"/>
          <w:szCs w:val="22"/>
        </w:rPr>
        <w:t xml:space="preserve">Research </w:t>
      </w:r>
      <w:r w:rsidRPr="006A5825">
        <w:rPr>
          <w:rFonts w:ascii="Calibri" w:hAnsi="Calibri" w:cs="Calibri"/>
          <w:kern w:val="0"/>
          <w:sz w:val="22"/>
          <w:szCs w:val="22"/>
        </w:rPr>
        <w:tab/>
      </w:r>
      <w:r w:rsidRPr="006A5825">
        <w:rPr>
          <w:rFonts w:ascii="Calibri" w:hAnsi="Calibri" w:cs="Calibri"/>
          <w:kern w:val="0"/>
          <w:sz w:val="22"/>
          <w:szCs w:val="22"/>
        </w:rPr>
        <w:tab/>
      </w:r>
      <w:r w:rsidRPr="006A5825">
        <w:rPr>
          <w:rFonts w:ascii="Calibri" w:hAnsi="Calibri" w:cs="Calibri"/>
          <w:kern w:val="0"/>
          <w:sz w:val="22"/>
          <w:szCs w:val="22"/>
        </w:rPr>
        <w:tab/>
      </w:r>
      <w:r w:rsidRPr="006A5825">
        <w:rPr>
          <w:rFonts w:ascii="Calibri" w:hAnsi="Calibri" w:cs="Calibri"/>
          <w:kern w:val="0"/>
          <w:sz w:val="22"/>
          <w:szCs w:val="22"/>
        </w:rPr>
        <w:tab/>
      </w:r>
      <w:r w:rsidRPr="006A5825">
        <w:rPr>
          <w:rFonts w:ascii="Calibri" w:hAnsi="Calibri" w:cs="Calibri"/>
          <w:kern w:val="0"/>
          <w:sz w:val="22"/>
          <w:szCs w:val="22"/>
        </w:rPr>
        <w:tab/>
        <w:t xml:space="preserve">10-20% </w:t>
      </w:r>
    </w:p>
    <w:p w14:paraId="2EC7755B" w14:textId="77777777" w:rsidR="00A6094F" w:rsidRPr="006A5825" w:rsidRDefault="00A6094F" w:rsidP="00A6094F">
      <w:pPr>
        <w:rPr>
          <w:rFonts w:ascii="Calibri" w:hAnsi="Calibri" w:cs="Calibri"/>
          <w:kern w:val="0"/>
          <w:sz w:val="22"/>
          <w:szCs w:val="22"/>
        </w:rPr>
      </w:pPr>
    </w:p>
    <w:p w14:paraId="34EDE94B" w14:textId="5FA7EF3E" w:rsidR="00A6094F" w:rsidRPr="006A5825" w:rsidRDefault="00A6094F" w:rsidP="00A6094F">
      <w:pPr>
        <w:rPr>
          <w:rFonts w:ascii="Calibri" w:hAnsi="Calibri" w:cs="Calibri"/>
          <w:kern w:val="0"/>
          <w:sz w:val="22"/>
          <w:szCs w:val="22"/>
        </w:rPr>
      </w:pPr>
      <w:r w:rsidRPr="006A5825">
        <w:rPr>
          <w:rFonts w:ascii="Calibri" w:hAnsi="Calibri" w:cs="Calibri"/>
          <w:kern w:val="0"/>
          <w:sz w:val="22"/>
          <w:szCs w:val="22"/>
        </w:rPr>
        <w:lastRenderedPageBreak/>
        <w:t>Or other workload percentages by agreement with the Dean or the Provost.</w:t>
      </w:r>
    </w:p>
    <w:p w14:paraId="261BB5CB" w14:textId="77777777" w:rsidR="00A6094F" w:rsidRPr="006A5825" w:rsidRDefault="00A6094F" w:rsidP="00A6094F">
      <w:pPr>
        <w:rPr>
          <w:rFonts w:ascii="Calibri" w:hAnsi="Calibri" w:cs="Calibri"/>
          <w:kern w:val="0"/>
          <w:sz w:val="22"/>
          <w:szCs w:val="22"/>
        </w:rPr>
      </w:pPr>
    </w:p>
    <w:p w14:paraId="1019F488" w14:textId="77777777" w:rsidR="00A6094F" w:rsidRPr="006A5825" w:rsidRDefault="00A6094F" w:rsidP="00A6094F">
      <w:pPr>
        <w:rPr>
          <w:rFonts w:ascii="Calibri" w:hAnsi="Calibri" w:cs="Calibri"/>
          <w:kern w:val="0"/>
          <w:sz w:val="22"/>
          <w:szCs w:val="22"/>
        </w:rPr>
      </w:pPr>
    </w:p>
    <w:p w14:paraId="4EC6B955" w14:textId="77777777" w:rsidR="00A6094F" w:rsidRPr="006A5825" w:rsidRDefault="00A6094F" w:rsidP="00A6094F">
      <w:pPr>
        <w:rPr>
          <w:rFonts w:ascii="Calibri" w:hAnsi="Calibri" w:cs="Calibri"/>
          <w:b/>
          <w:bCs/>
          <w:kern w:val="0"/>
          <w:sz w:val="22"/>
          <w:szCs w:val="22"/>
        </w:rPr>
      </w:pPr>
      <w:r w:rsidRPr="006A5825">
        <w:rPr>
          <w:rFonts w:ascii="Calibri" w:hAnsi="Calibri" w:cs="Calibri"/>
          <w:b/>
          <w:bCs/>
          <w:kern w:val="0"/>
          <w:sz w:val="22"/>
          <w:szCs w:val="22"/>
          <w:u w:val="single"/>
        </w:rPr>
        <w:t xml:space="preserve">Alternative Workloads for Tenure-System Faculty in the Department of History </w:t>
      </w:r>
    </w:p>
    <w:p w14:paraId="38C0C700" w14:textId="77777777" w:rsidR="00A6094F" w:rsidRPr="006A5825" w:rsidRDefault="00A6094F" w:rsidP="00A6094F">
      <w:pPr>
        <w:rPr>
          <w:rFonts w:ascii="Calibri" w:hAnsi="Calibri" w:cs="Calibri"/>
          <w:kern w:val="0"/>
          <w:sz w:val="22"/>
          <w:szCs w:val="22"/>
        </w:rPr>
      </w:pPr>
      <w:r w:rsidRPr="006A5825">
        <w:rPr>
          <w:rFonts w:ascii="Calibri" w:hAnsi="Calibri" w:cs="Calibri"/>
          <w:kern w:val="0"/>
          <w:sz w:val="22"/>
          <w:szCs w:val="22"/>
        </w:rPr>
        <w:t xml:space="preserve">The Department Chair may assign alternative workloads with varying distribution of teaching, research, and service responsibilities to specific faculty members if the Department Chair determines that the alternative workload is in the best interests of the department. </w:t>
      </w:r>
    </w:p>
    <w:p w14:paraId="569F0BA9" w14:textId="77777777" w:rsidR="00A6094F" w:rsidRPr="006A5825" w:rsidRDefault="00A6094F" w:rsidP="00A6094F">
      <w:pPr>
        <w:rPr>
          <w:rFonts w:ascii="Calibri" w:hAnsi="Calibri" w:cs="Calibri"/>
          <w:kern w:val="0"/>
          <w:sz w:val="22"/>
          <w:szCs w:val="22"/>
        </w:rPr>
      </w:pPr>
    </w:p>
    <w:p w14:paraId="2E8F493B" w14:textId="77777777" w:rsidR="00A6094F" w:rsidRPr="006A5825" w:rsidRDefault="00A6094F" w:rsidP="00A6094F">
      <w:pPr>
        <w:rPr>
          <w:rFonts w:ascii="Calibri" w:hAnsi="Calibri" w:cs="Calibri"/>
          <w:kern w:val="0"/>
          <w:sz w:val="22"/>
          <w:szCs w:val="22"/>
        </w:rPr>
      </w:pPr>
      <w:r w:rsidRPr="006A5825">
        <w:rPr>
          <w:rFonts w:ascii="Calibri" w:hAnsi="Calibri" w:cs="Calibri"/>
          <w:b/>
          <w:bCs/>
          <w:kern w:val="0"/>
          <w:sz w:val="22"/>
          <w:szCs w:val="22"/>
        </w:rPr>
        <w:t>Research/Service/Teaching Balance</w:t>
      </w:r>
      <w:r w:rsidRPr="006A5825">
        <w:rPr>
          <w:rFonts w:ascii="Calibri" w:hAnsi="Calibri" w:cs="Calibri"/>
          <w:kern w:val="0"/>
          <w:sz w:val="22"/>
          <w:szCs w:val="22"/>
        </w:rPr>
        <w:t xml:space="preserve"> </w:t>
      </w:r>
    </w:p>
    <w:p w14:paraId="49F9396B" w14:textId="5BD084B9" w:rsidR="00A6094F" w:rsidRPr="006A5825" w:rsidRDefault="00A6094F" w:rsidP="00A6094F">
      <w:pPr>
        <w:rPr>
          <w:rFonts w:ascii="Calibri" w:hAnsi="Calibri" w:cs="Calibri"/>
          <w:kern w:val="0"/>
          <w:sz w:val="22"/>
          <w:szCs w:val="22"/>
        </w:rPr>
      </w:pPr>
      <w:r w:rsidRPr="006A5825">
        <w:rPr>
          <w:rFonts w:ascii="Calibri" w:hAnsi="Calibri" w:cs="Calibri"/>
          <w:kern w:val="0"/>
          <w:sz w:val="22"/>
          <w:szCs w:val="22"/>
        </w:rPr>
        <w:t xml:space="preserve">Generally for faculty with significant service/administrative roles such as </w:t>
      </w:r>
      <w:r w:rsidR="006A5825">
        <w:rPr>
          <w:rFonts w:ascii="Calibri" w:hAnsi="Calibri" w:cs="Calibri"/>
          <w:kern w:val="0"/>
          <w:sz w:val="22"/>
          <w:szCs w:val="22"/>
        </w:rPr>
        <w:t xml:space="preserve">Director of Graduate Studies, Director of Undergraduate Studies, </w:t>
      </w:r>
      <w:r w:rsidRPr="006A5825">
        <w:rPr>
          <w:rFonts w:ascii="Calibri" w:hAnsi="Calibri" w:cs="Calibri"/>
          <w:kern w:val="0"/>
          <w:sz w:val="22"/>
          <w:szCs w:val="22"/>
        </w:rPr>
        <w:t xml:space="preserve">director of a program or center, </w:t>
      </w:r>
      <w:r w:rsidR="006A5825">
        <w:rPr>
          <w:rFonts w:ascii="Calibri" w:hAnsi="Calibri" w:cs="Calibri"/>
          <w:kern w:val="0"/>
          <w:sz w:val="22"/>
          <w:szCs w:val="22"/>
        </w:rPr>
        <w:t xml:space="preserve">or </w:t>
      </w:r>
      <w:r w:rsidRPr="006A5825">
        <w:rPr>
          <w:rFonts w:ascii="Calibri" w:hAnsi="Calibri" w:cs="Calibri"/>
          <w:kern w:val="0"/>
          <w:sz w:val="22"/>
          <w:szCs w:val="22"/>
        </w:rPr>
        <w:t>associate chair</w:t>
      </w:r>
      <w:r w:rsidR="006A5825">
        <w:rPr>
          <w:rFonts w:ascii="Calibri" w:hAnsi="Calibri" w:cs="Calibri"/>
          <w:kern w:val="0"/>
          <w:sz w:val="22"/>
          <w:szCs w:val="22"/>
        </w:rPr>
        <w:t>.</w:t>
      </w:r>
    </w:p>
    <w:p w14:paraId="791CA7AB" w14:textId="77777777" w:rsidR="00A6094F" w:rsidRPr="006A5825" w:rsidRDefault="00A6094F" w:rsidP="00A6094F">
      <w:pPr>
        <w:rPr>
          <w:rFonts w:ascii="Calibri" w:hAnsi="Calibri" w:cs="Calibri"/>
          <w:kern w:val="0"/>
          <w:sz w:val="22"/>
          <w:szCs w:val="22"/>
        </w:rPr>
      </w:pPr>
    </w:p>
    <w:p w14:paraId="5B59373E" w14:textId="77777777" w:rsidR="00A6094F" w:rsidRPr="006A5825" w:rsidRDefault="00A6094F" w:rsidP="00A6094F">
      <w:pPr>
        <w:rPr>
          <w:rFonts w:ascii="Calibri" w:hAnsi="Calibri" w:cs="Calibri"/>
          <w:kern w:val="0"/>
          <w:sz w:val="22"/>
          <w:szCs w:val="22"/>
        </w:rPr>
      </w:pPr>
      <w:r w:rsidRPr="006A5825">
        <w:rPr>
          <w:rFonts w:ascii="Calibri" w:hAnsi="Calibri" w:cs="Calibri"/>
          <w:kern w:val="0"/>
          <w:sz w:val="22"/>
          <w:szCs w:val="22"/>
        </w:rPr>
        <w:t xml:space="preserve">1-2 or 1-1 teaching load </w:t>
      </w:r>
      <w:r w:rsidRPr="006A5825">
        <w:rPr>
          <w:rFonts w:ascii="Calibri" w:hAnsi="Calibri" w:cs="Calibri"/>
          <w:kern w:val="0"/>
          <w:sz w:val="22"/>
          <w:szCs w:val="22"/>
        </w:rPr>
        <w:tab/>
      </w:r>
      <w:r w:rsidRPr="006A5825">
        <w:rPr>
          <w:rFonts w:ascii="Calibri" w:hAnsi="Calibri" w:cs="Calibri"/>
          <w:kern w:val="0"/>
          <w:sz w:val="22"/>
          <w:szCs w:val="22"/>
        </w:rPr>
        <w:tab/>
      </w:r>
      <w:r w:rsidRPr="006A5825">
        <w:rPr>
          <w:rFonts w:ascii="Calibri" w:hAnsi="Calibri" w:cs="Calibri"/>
          <w:kern w:val="0"/>
          <w:sz w:val="22"/>
          <w:szCs w:val="22"/>
        </w:rPr>
        <w:tab/>
        <w:t xml:space="preserve">20-30% </w:t>
      </w:r>
    </w:p>
    <w:p w14:paraId="08A92390" w14:textId="77777777" w:rsidR="00A6094F" w:rsidRPr="006A5825" w:rsidRDefault="00A6094F" w:rsidP="00A6094F">
      <w:pPr>
        <w:rPr>
          <w:rFonts w:ascii="Calibri" w:hAnsi="Calibri" w:cs="Calibri"/>
          <w:kern w:val="0"/>
          <w:sz w:val="22"/>
          <w:szCs w:val="22"/>
        </w:rPr>
      </w:pPr>
      <w:r w:rsidRPr="006A5825">
        <w:rPr>
          <w:rFonts w:ascii="Calibri" w:hAnsi="Calibri" w:cs="Calibri"/>
          <w:kern w:val="0"/>
          <w:sz w:val="22"/>
          <w:szCs w:val="22"/>
        </w:rPr>
        <w:t xml:space="preserve">Research </w:t>
      </w:r>
      <w:r w:rsidRPr="006A5825">
        <w:rPr>
          <w:rFonts w:ascii="Calibri" w:hAnsi="Calibri" w:cs="Calibri"/>
          <w:kern w:val="0"/>
          <w:sz w:val="22"/>
          <w:szCs w:val="22"/>
        </w:rPr>
        <w:tab/>
      </w:r>
      <w:r w:rsidRPr="006A5825">
        <w:rPr>
          <w:rFonts w:ascii="Calibri" w:hAnsi="Calibri" w:cs="Calibri"/>
          <w:kern w:val="0"/>
          <w:sz w:val="22"/>
          <w:szCs w:val="22"/>
        </w:rPr>
        <w:tab/>
      </w:r>
      <w:r w:rsidRPr="006A5825">
        <w:rPr>
          <w:rFonts w:ascii="Calibri" w:hAnsi="Calibri" w:cs="Calibri"/>
          <w:kern w:val="0"/>
          <w:sz w:val="22"/>
          <w:szCs w:val="22"/>
        </w:rPr>
        <w:tab/>
      </w:r>
      <w:r w:rsidRPr="006A5825">
        <w:rPr>
          <w:rFonts w:ascii="Calibri" w:hAnsi="Calibri" w:cs="Calibri"/>
          <w:kern w:val="0"/>
          <w:sz w:val="22"/>
          <w:szCs w:val="22"/>
        </w:rPr>
        <w:tab/>
      </w:r>
      <w:r w:rsidRPr="006A5825">
        <w:rPr>
          <w:rFonts w:ascii="Calibri" w:hAnsi="Calibri" w:cs="Calibri"/>
          <w:kern w:val="0"/>
          <w:sz w:val="22"/>
          <w:szCs w:val="22"/>
        </w:rPr>
        <w:tab/>
        <w:t xml:space="preserve">40-50% </w:t>
      </w:r>
    </w:p>
    <w:p w14:paraId="5BC5FD37" w14:textId="0D49E179" w:rsidR="00A6094F" w:rsidRPr="006A5825" w:rsidRDefault="00A6094F" w:rsidP="00A6094F">
      <w:pPr>
        <w:rPr>
          <w:rFonts w:ascii="Calibri" w:hAnsi="Calibri" w:cs="Calibri"/>
          <w:kern w:val="0"/>
          <w:sz w:val="22"/>
          <w:szCs w:val="22"/>
        </w:rPr>
      </w:pPr>
      <w:r w:rsidRPr="006A5825">
        <w:rPr>
          <w:rFonts w:ascii="Calibri" w:hAnsi="Calibri" w:cs="Calibri"/>
          <w:kern w:val="0"/>
          <w:sz w:val="22"/>
          <w:szCs w:val="22"/>
        </w:rPr>
        <w:t xml:space="preserve">Service/Administration </w:t>
      </w:r>
      <w:r w:rsidRPr="006A5825">
        <w:rPr>
          <w:rFonts w:ascii="Calibri" w:hAnsi="Calibri" w:cs="Calibri"/>
          <w:kern w:val="0"/>
          <w:sz w:val="22"/>
          <w:szCs w:val="22"/>
        </w:rPr>
        <w:tab/>
      </w:r>
      <w:r w:rsidRPr="006A5825">
        <w:rPr>
          <w:rFonts w:ascii="Calibri" w:hAnsi="Calibri" w:cs="Calibri"/>
          <w:kern w:val="0"/>
          <w:sz w:val="22"/>
          <w:szCs w:val="22"/>
        </w:rPr>
        <w:tab/>
      </w:r>
      <w:r w:rsidRPr="006A5825">
        <w:rPr>
          <w:rFonts w:ascii="Calibri" w:hAnsi="Calibri" w:cs="Calibri"/>
          <w:kern w:val="0"/>
          <w:sz w:val="22"/>
          <w:szCs w:val="22"/>
        </w:rPr>
        <w:tab/>
      </w:r>
      <w:r w:rsidR="006A5825">
        <w:rPr>
          <w:rFonts w:ascii="Calibri" w:hAnsi="Calibri" w:cs="Calibri"/>
          <w:kern w:val="0"/>
          <w:sz w:val="22"/>
          <w:szCs w:val="22"/>
        </w:rPr>
        <w:tab/>
      </w:r>
      <w:r w:rsidRPr="006A5825">
        <w:rPr>
          <w:rFonts w:ascii="Calibri" w:hAnsi="Calibri" w:cs="Calibri"/>
          <w:kern w:val="0"/>
          <w:sz w:val="22"/>
          <w:szCs w:val="22"/>
        </w:rPr>
        <w:t xml:space="preserve">20-40% </w:t>
      </w:r>
    </w:p>
    <w:p w14:paraId="558FFFC5" w14:textId="77777777" w:rsidR="00A6094F" w:rsidRPr="006A5825" w:rsidRDefault="00A6094F" w:rsidP="00A6094F">
      <w:pPr>
        <w:rPr>
          <w:rFonts w:ascii="Calibri" w:hAnsi="Calibri" w:cs="Calibri"/>
          <w:kern w:val="0"/>
          <w:sz w:val="22"/>
          <w:szCs w:val="22"/>
        </w:rPr>
      </w:pPr>
    </w:p>
    <w:p w14:paraId="10540BC6" w14:textId="77777777" w:rsidR="00A6094F" w:rsidRPr="006A5825" w:rsidRDefault="00A6094F" w:rsidP="00A6094F">
      <w:pPr>
        <w:rPr>
          <w:rFonts w:ascii="Calibri" w:hAnsi="Calibri" w:cs="Calibri"/>
          <w:b/>
          <w:bCs/>
          <w:kern w:val="0"/>
          <w:sz w:val="22"/>
          <w:szCs w:val="22"/>
        </w:rPr>
      </w:pPr>
      <w:r w:rsidRPr="006A5825">
        <w:rPr>
          <w:rFonts w:ascii="Calibri" w:hAnsi="Calibri" w:cs="Calibri"/>
          <w:b/>
          <w:bCs/>
          <w:kern w:val="0"/>
          <w:sz w:val="22"/>
          <w:szCs w:val="22"/>
        </w:rPr>
        <w:t xml:space="preserve">Teaching/Research/Service balance </w:t>
      </w:r>
    </w:p>
    <w:p w14:paraId="0354714B" w14:textId="22715B1B" w:rsidR="00A6094F" w:rsidRPr="006A5825" w:rsidRDefault="00A6094F" w:rsidP="00A6094F">
      <w:pPr>
        <w:rPr>
          <w:rFonts w:ascii="Calibri" w:hAnsi="Calibri" w:cs="Calibri"/>
          <w:kern w:val="0"/>
          <w:sz w:val="22"/>
          <w:szCs w:val="22"/>
        </w:rPr>
      </w:pPr>
      <w:r w:rsidRPr="006A5825">
        <w:rPr>
          <w:rFonts w:ascii="Calibri" w:hAnsi="Calibri" w:cs="Calibri"/>
          <w:kern w:val="0"/>
          <w:sz w:val="22"/>
          <w:szCs w:val="22"/>
        </w:rPr>
        <w:t>Generally for tenured faculty members whose research productivity no longer meets the departmental expectations outlined later in this document.</w:t>
      </w:r>
    </w:p>
    <w:p w14:paraId="598AECDD" w14:textId="77777777" w:rsidR="00A6094F" w:rsidRPr="006A5825" w:rsidRDefault="00A6094F" w:rsidP="00A6094F">
      <w:pPr>
        <w:rPr>
          <w:rFonts w:ascii="Calibri" w:hAnsi="Calibri" w:cs="Calibri"/>
          <w:kern w:val="0"/>
          <w:sz w:val="22"/>
          <w:szCs w:val="22"/>
        </w:rPr>
      </w:pPr>
    </w:p>
    <w:p w14:paraId="41ADB0FB" w14:textId="77777777" w:rsidR="00A6094F" w:rsidRPr="006A5825" w:rsidRDefault="00A6094F" w:rsidP="00A6094F">
      <w:pPr>
        <w:rPr>
          <w:rFonts w:ascii="Calibri" w:hAnsi="Calibri" w:cs="Calibri"/>
          <w:kern w:val="0"/>
          <w:sz w:val="22"/>
          <w:szCs w:val="22"/>
        </w:rPr>
      </w:pPr>
      <w:r w:rsidRPr="006A5825">
        <w:rPr>
          <w:rFonts w:ascii="Calibri" w:hAnsi="Calibri" w:cs="Calibri"/>
          <w:kern w:val="0"/>
          <w:sz w:val="22"/>
          <w:szCs w:val="22"/>
        </w:rPr>
        <w:t xml:space="preserve">2-3 or 3-3 teaching load </w:t>
      </w:r>
      <w:r w:rsidRPr="006A5825">
        <w:rPr>
          <w:rFonts w:ascii="Calibri" w:hAnsi="Calibri" w:cs="Calibri"/>
          <w:kern w:val="0"/>
          <w:sz w:val="22"/>
          <w:szCs w:val="22"/>
        </w:rPr>
        <w:tab/>
      </w:r>
      <w:r w:rsidRPr="006A5825">
        <w:rPr>
          <w:rFonts w:ascii="Calibri" w:hAnsi="Calibri" w:cs="Calibri"/>
          <w:kern w:val="0"/>
          <w:sz w:val="22"/>
          <w:szCs w:val="22"/>
        </w:rPr>
        <w:tab/>
      </w:r>
      <w:r w:rsidRPr="006A5825">
        <w:rPr>
          <w:rFonts w:ascii="Calibri" w:hAnsi="Calibri" w:cs="Calibri"/>
          <w:kern w:val="0"/>
          <w:sz w:val="22"/>
          <w:szCs w:val="22"/>
        </w:rPr>
        <w:tab/>
        <w:t xml:space="preserve">50-60% </w:t>
      </w:r>
    </w:p>
    <w:p w14:paraId="3F6B5DBB" w14:textId="71C0F1F3" w:rsidR="00A6094F" w:rsidRPr="006A5825" w:rsidRDefault="00A6094F" w:rsidP="00A6094F">
      <w:pPr>
        <w:rPr>
          <w:rFonts w:ascii="Calibri" w:hAnsi="Calibri" w:cs="Calibri"/>
          <w:kern w:val="0"/>
          <w:sz w:val="22"/>
          <w:szCs w:val="22"/>
        </w:rPr>
      </w:pPr>
      <w:r w:rsidRPr="006A5825">
        <w:rPr>
          <w:rFonts w:ascii="Calibri" w:hAnsi="Calibri" w:cs="Calibri"/>
          <w:kern w:val="0"/>
          <w:sz w:val="22"/>
          <w:szCs w:val="22"/>
        </w:rPr>
        <w:t xml:space="preserve">Service/Administration </w:t>
      </w:r>
      <w:r w:rsidRPr="006A5825">
        <w:rPr>
          <w:rFonts w:ascii="Calibri" w:hAnsi="Calibri" w:cs="Calibri"/>
          <w:kern w:val="0"/>
          <w:sz w:val="22"/>
          <w:szCs w:val="22"/>
        </w:rPr>
        <w:tab/>
      </w:r>
      <w:r w:rsidRPr="006A5825">
        <w:rPr>
          <w:rFonts w:ascii="Calibri" w:hAnsi="Calibri" w:cs="Calibri"/>
          <w:kern w:val="0"/>
          <w:sz w:val="22"/>
          <w:szCs w:val="22"/>
        </w:rPr>
        <w:tab/>
      </w:r>
      <w:r w:rsidR="006A5825">
        <w:rPr>
          <w:rFonts w:ascii="Calibri" w:hAnsi="Calibri" w:cs="Calibri"/>
          <w:kern w:val="0"/>
          <w:sz w:val="22"/>
          <w:szCs w:val="22"/>
        </w:rPr>
        <w:tab/>
      </w:r>
      <w:r w:rsidRPr="006A5825">
        <w:rPr>
          <w:rFonts w:ascii="Calibri" w:hAnsi="Calibri" w:cs="Calibri"/>
          <w:kern w:val="0"/>
          <w:sz w:val="22"/>
          <w:szCs w:val="22"/>
        </w:rPr>
        <w:tab/>
        <w:t xml:space="preserve">10-30% </w:t>
      </w:r>
    </w:p>
    <w:p w14:paraId="14F7B2E4" w14:textId="77777777" w:rsidR="00A6094F" w:rsidRPr="006A5825" w:rsidRDefault="00A6094F" w:rsidP="00A6094F">
      <w:pPr>
        <w:rPr>
          <w:rFonts w:ascii="Calibri" w:hAnsi="Calibri" w:cs="Calibri"/>
          <w:kern w:val="0"/>
          <w:sz w:val="22"/>
          <w:szCs w:val="22"/>
        </w:rPr>
      </w:pPr>
      <w:r w:rsidRPr="006A5825">
        <w:rPr>
          <w:rFonts w:ascii="Calibri" w:hAnsi="Calibri" w:cs="Calibri"/>
          <w:kern w:val="0"/>
          <w:sz w:val="22"/>
          <w:szCs w:val="22"/>
        </w:rPr>
        <w:t xml:space="preserve">Research </w:t>
      </w:r>
      <w:r w:rsidRPr="006A5825">
        <w:rPr>
          <w:rFonts w:ascii="Calibri" w:hAnsi="Calibri" w:cs="Calibri"/>
          <w:kern w:val="0"/>
          <w:sz w:val="22"/>
          <w:szCs w:val="22"/>
        </w:rPr>
        <w:tab/>
      </w:r>
      <w:r w:rsidRPr="006A5825">
        <w:rPr>
          <w:rFonts w:ascii="Calibri" w:hAnsi="Calibri" w:cs="Calibri"/>
          <w:kern w:val="0"/>
          <w:sz w:val="22"/>
          <w:szCs w:val="22"/>
        </w:rPr>
        <w:tab/>
      </w:r>
      <w:r w:rsidRPr="006A5825">
        <w:rPr>
          <w:rFonts w:ascii="Calibri" w:hAnsi="Calibri" w:cs="Calibri"/>
          <w:kern w:val="0"/>
          <w:sz w:val="22"/>
          <w:szCs w:val="22"/>
        </w:rPr>
        <w:tab/>
      </w:r>
      <w:r w:rsidRPr="006A5825">
        <w:rPr>
          <w:rFonts w:ascii="Calibri" w:hAnsi="Calibri" w:cs="Calibri"/>
          <w:kern w:val="0"/>
          <w:sz w:val="22"/>
          <w:szCs w:val="22"/>
        </w:rPr>
        <w:tab/>
      </w:r>
      <w:r w:rsidRPr="006A5825">
        <w:rPr>
          <w:rFonts w:ascii="Calibri" w:hAnsi="Calibri" w:cs="Calibri"/>
          <w:kern w:val="0"/>
          <w:sz w:val="22"/>
          <w:szCs w:val="22"/>
        </w:rPr>
        <w:tab/>
        <w:t xml:space="preserve">10-40% </w:t>
      </w:r>
    </w:p>
    <w:p w14:paraId="7D969424" w14:textId="77777777" w:rsidR="00A6094F" w:rsidRPr="006A5825" w:rsidRDefault="00A6094F" w:rsidP="00A6094F">
      <w:pPr>
        <w:rPr>
          <w:rFonts w:ascii="Calibri" w:hAnsi="Calibri" w:cs="Calibri"/>
          <w:kern w:val="0"/>
          <w:sz w:val="22"/>
          <w:szCs w:val="22"/>
        </w:rPr>
      </w:pPr>
      <w:r w:rsidRPr="006A5825">
        <w:rPr>
          <w:rFonts w:ascii="Calibri" w:hAnsi="Calibri" w:cs="Calibri"/>
          <w:kern w:val="0"/>
          <w:sz w:val="22"/>
          <w:szCs w:val="22"/>
        </w:rPr>
        <w:tab/>
      </w:r>
      <w:r w:rsidRPr="006A5825">
        <w:rPr>
          <w:rFonts w:ascii="Calibri" w:hAnsi="Calibri" w:cs="Calibri"/>
          <w:kern w:val="0"/>
          <w:sz w:val="22"/>
          <w:szCs w:val="22"/>
        </w:rPr>
        <w:tab/>
      </w:r>
      <w:r w:rsidRPr="006A5825">
        <w:rPr>
          <w:rFonts w:ascii="Calibri" w:hAnsi="Calibri" w:cs="Calibri"/>
          <w:kern w:val="0"/>
          <w:sz w:val="22"/>
          <w:szCs w:val="22"/>
        </w:rPr>
        <w:tab/>
      </w:r>
    </w:p>
    <w:p w14:paraId="14BE1594" w14:textId="77777777" w:rsidR="00A6094F" w:rsidRPr="006A5825" w:rsidRDefault="00A6094F" w:rsidP="00A6094F">
      <w:pPr>
        <w:rPr>
          <w:rFonts w:ascii="Calibri" w:hAnsi="Calibri" w:cs="Calibri"/>
          <w:kern w:val="0"/>
          <w:sz w:val="22"/>
          <w:szCs w:val="22"/>
        </w:rPr>
      </w:pPr>
      <w:r w:rsidRPr="006A5825">
        <w:rPr>
          <w:rFonts w:ascii="Calibri" w:hAnsi="Calibri" w:cs="Calibri"/>
          <w:b/>
          <w:bCs/>
          <w:kern w:val="0"/>
          <w:sz w:val="22"/>
          <w:szCs w:val="22"/>
        </w:rPr>
        <w:t>Teaching/Service/Research balance</w:t>
      </w:r>
      <w:r w:rsidRPr="006A5825">
        <w:rPr>
          <w:rFonts w:ascii="Calibri" w:hAnsi="Calibri" w:cs="Calibri"/>
          <w:kern w:val="0"/>
          <w:sz w:val="22"/>
          <w:szCs w:val="22"/>
        </w:rPr>
        <w:t xml:space="preserve"> </w:t>
      </w:r>
    </w:p>
    <w:p w14:paraId="5B4E82D7" w14:textId="5820BCEC" w:rsidR="00A6094F" w:rsidRDefault="00A6094F" w:rsidP="00A6094F">
      <w:pPr>
        <w:rPr>
          <w:rFonts w:ascii="Calibri" w:hAnsi="Calibri" w:cs="Calibri"/>
          <w:kern w:val="0"/>
          <w:sz w:val="22"/>
          <w:szCs w:val="22"/>
        </w:rPr>
      </w:pPr>
      <w:r w:rsidRPr="006A5825">
        <w:rPr>
          <w:rFonts w:ascii="Calibri" w:hAnsi="Calibri" w:cs="Calibri"/>
          <w:kern w:val="0"/>
          <w:sz w:val="22"/>
          <w:szCs w:val="22"/>
        </w:rPr>
        <w:t xml:space="preserve">Assigned by the chair to tenured faculty members who are </w:t>
      </w:r>
      <w:r w:rsidR="0089104E">
        <w:rPr>
          <w:rFonts w:ascii="Calibri" w:hAnsi="Calibri" w:cs="Calibri"/>
          <w:kern w:val="0"/>
          <w:sz w:val="22"/>
          <w:szCs w:val="22"/>
        </w:rPr>
        <w:t>substantially less</w:t>
      </w:r>
      <w:r w:rsidRPr="006A5825">
        <w:rPr>
          <w:rFonts w:ascii="Calibri" w:hAnsi="Calibri" w:cs="Calibri"/>
          <w:kern w:val="0"/>
          <w:sz w:val="22"/>
          <w:szCs w:val="22"/>
        </w:rPr>
        <w:t xml:space="preserve"> active in research.</w:t>
      </w:r>
    </w:p>
    <w:p w14:paraId="211AF20E" w14:textId="77777777" w:rsidR="006A5825" w:rsidRPr="006A5825" w:rsidRDefault="006A5825" w:rsidP="00A6094F">
      <w:pPr>
        <w:rPr>
          <w:rFonts w:ascii="Calibri" w:hAnsi="Calibri" w:cs="Calibri"/>
          <w:kern w:val="0"/>
          <w:sz w:val="22"/>
          <w:szCs w:val="22"/>
        </w:rPr>
      </w:pPr>
    </w:p>
    <w:p w14:paraId="6DFE5528" w14:textId="1658B0B5" w:rsidR="00A6094F" w:rsidRPr="006A5825" w:rsidRDefault="00A6094F" w:rsidP="00A6094F">
      <w:pPr>
        <w:rPr>
          <w:rFonts w:ascii="Calibri" w:hAnsi="Calibri" w:cs="Calibri"/>
          <w:kern w:val="0"/>
          <w:sz w:val="22"/>
          <w:szCs w:val="22"/>
        </w:rPr>
      </w:pPr>
      <w:r w:rsidRPr="006A5825">
        <w:rPr>
          <w:rFonts w:ascii="Calibri" w:hAnsi="Calibri" w:cs="Calibri"/>
          <w:kern w:val="0"/>
          <w:sz w:val="22"/>
          <w:szCs w:val="22"/>
        </w:rPr>
        <w:t xml:space="preserve">3-4 or 4-4 course teaching load </w:t>
      </w:r>
      <w:r w:rsidRPr="006A5825">
        <w:rPr>
          <w:rFonts w:ascii="Calibri" w:hAnsi="Calibri" w:cs="Calibri"/>
          <w:kern w:val="0"/>
          <w:sz w:val="22"/>
          <w:szCs w:val="22"/>
        </w:rPr>
        <w:tab/>
      </w:r>
      <w:r w:rsidRPr="006A5825">
        <w:rPr>
          <w:rFonts w:ascii="Calibri" w:hAnsi="Calibri" w:cs="Calibri"/>
          <w:kern w:val="0"/>
          <w:sz w:val="22"/>
          <w:szCs w:val="22"/>
        </w:rPr>
        <w:tab/>
      </w:r>
      <w:r w:rsidR="006A5825">
        <w:rPr>
          <w:rFonts w:ascii="Calibri" w:hAnsi="Calibri" w:cs="Calibri"/>
          <w:kern w:val="0"/>
          <w:sz w:val="22"/>
          <w:szCs w:val="22"/>
        </w:rPr>
        <w:tab/>
        <w:t>7</w:t>
      </w:r>
      <w:r w:rsidRPr="006A5825">
        <w:rPr>
          <w:rFonts w:ascii="Calibri" w:hAnsi="Calibri" w:cs="Calibri"/>
          <w:kern w:val="0"/>
          <w:sz w:val="22"/>
          <w:szCs w:val="22"/>
        </w:rPr>
        <w:t xml:space="preserve">0-80% </w:t>
      </w:r>
    </w:p>
    <w:p w14:paraId="5115E4AE" w14:textId="637FBD6C" w:rsidR="00A6094F" w:rsidRPr="006A5825" w:rsidRDefault="00A6094F" w:rsidP="00A6094F">
      <w:pPr>
        <w:rPr>
          <w:rFonts w:ascii="Calibri" w:hAnsi="Calibri" w:cs="Calibri"/>
          <w:kern w:val="0"/>
          <w:sz w:val="22"/>
          <w:szCs w:val="22"/>
        </w:rPr>
      </w:pPr>
      <w:r w:rsidRPr="006A5825">
        <w:rPr>
          <w:rFonts w:ascii="Calibri" w:hAnsi="Calibri" w:cs="Calibri"/>
          <w:kern w:val="0"/>
          <w:sz w:val="22"/>
          <w:szCs w:val="22"/>
        </w:rPr>
        <w:t xml:space="preserve">Research </w:t>
      </w:r>
      <w:r w:rsidRPr="006A5825">
        <w:rPr>
          <w:rFonts w:ascii="Calibri" w:hAnsi="Calibri" w:cs="Calibri"/>
          <w:kern w:val="0"/>
          <w:sz w:val="22"/>
          <w:szCs w:val="22"/>
        </w:rPr>
        <w:tab/>
      </w:r>
      <w:r w:rsidRPr="006A5825">
        <w:rPr>
          <w:rFonts w:ascii="Calibri" w:hAnsi="Calibri" w:cs="Calibri"/>
          <w:kern w:val="0"/>
          <w:sz w:val="22"/>
          <w:szCs w:val="22"/>
        </w:rPr>
        <w:tab/>
      </w:r>
      <w:r w:rsidRPr="006A5825">
        <w:rPr>
          <w:rFonts w:ascii="Calibri" w:hAnsi="Calibri" w:cs="Calibri"/>
          <w:kern w:val="0"/>
          <w:sz w:val="22"/>
          <w:szCs w:val="22"/>
        </w:rPr>
        <w:tab/>
      </w:r>
      <w:r w:rsidRPr="006A5825">
        <w:rPr>
          <w:rFonts w:ascii="Calibri" w:hAnsi="Calibri" w:cs="Calibri"/>
          <w:kern w:val="0"/>
          <w:sz w:val="22"/>
          <w:szCs w:val="22"/>
        </w:rPr>
        <w:tab/>
      </w:r>
      <w:r w:rsidR="006A5825">
        <w:rPr>
          <w:rFonts w:ascii="Calibri" w:hAnsi="Calibri" w:cs="Calibri"/>
          <w:kern w:val="0"/>
          <w:sz w:val="22"/>
          <w:szCs w:val="22"/>
        </w:rPr>
        <w:tab/>
      </w:r>
      <w:r w:rsidRPr="006A5825">
        <w:rPr>
          <w:rFonts w:ascii="Calibri" w:hAnsi="Calibri" w:cs="Calibri"/>
          <w:kern w:val="0"/>
          <w:sz w:val="22"/>
          <w:szCs w:val="22"/>
        </w:rPr>
        <w:t>10-</w:t>
      </w:r>
      <w:r w:rsidR="006A5825">
        <w:rPr>
          <w:rFonts w:ascii="Calibri" w:hAnsi="Calibri" w:cs="Calibri"/>
          <w:kern w:val="0"/>
          <w:sz w:val="22"/>
          <w:szCs w:val="22"/>
        </w:rPr>
        <w:t>2</w:t>
      </w:r>
      <w:r w:rsidRPr="006A5825">
        <w:rPr>
          <w:rFonts w:ascii="Calibri" w:hAnsi="Calibri" w:cs="Calibri"/>
          <w:kern w:val="0"/>
          <w:sz w:val="22"/>
          <w:szCs w:val="22"/>
        </w:rPr>
        <w:t xml:space="preserve">0% </w:t>
      </w:r>
      <w:r w:rsidRPr="006A5825">
        <w:rPr>
          <w:rFonts w:ascii="Calibri" w:hAnsi="Calibri" w:cs="Calibri"/>
          <w:kern w:val="0"/>
          <w:sz w:val="22"/>
          <w:szCs w:val="22"/>
        </w:rPr>
        <w:tab/>
      </w:r>
      <w:r w:rsidRPr="006A5825">
        <w:rPr>
          <w:rFonts w:ascii="Calibri" w:hAnsi="Calibri" w:cs="Calibri"/>
          <w:kern w:val="0"/>
          <w:sz w:val="22"/>
          <w:szCs w:val="22"/>
        </w:rPr>
        <w:tab/>
      </w:r>
      <w:r w:rsidRPr="006A5825">
        <w:rPr>
          <w:rFonts w:ascii="Calibri" w:hAnsi="Calibri" w:cs="Calibri"/>
          <w:kern w:val="0"/>
          <w:sz w:val="22"/>
          <w:szCs w:val="22"/>
        </w:rPr>
        <w:tab/>
      </w:r>
      <w:r w:rsidRPr="006A5825">
        <w:rPr>
          <w:rFonts w:ascii="Calibri" w:hAnsi="Calibri" w:cs="Calibri"/>
          <w:kern w:val="0"/>
          <w:sz w:val="22"/>
          <w:szCs w:val="22"/>
        </w:rPr>
        <w:tab/>
      </w:r>
    </w:p>
    <w:p w14:paraId="4FF2B882" w14:textId="6AB63A5D" w:rsidR="00A6094F" w:rsidRPr="006A5825" w:rsidRDefault="00A6094F" w:rsidP="00A6094F">
      <w:pPr>
        <w:rPr>
          <w:rFonts w:ascii="Calibri" w:hAnsi="Calibri" w:cs="Calibri"/>
          <w:kern w:val="0"/>
          <w:sz w:val="22"/>
          <w:szCs w:val="22"/>
        </w:rPr>
      </w:pPr>
      <w:r w:rsidRPr="006A5825">
        <w:rPr>
          <w:rFonts w:ascii="Calibri" w:hAnsi="Calibri" w:cs="Calibri"/>
          <w:kern w:val="0"/>
          <w:sz w:val="22"/>
          <w:szCs w:val="22"/>
        </w:rPr>
        <w:t xml:space="preserve">Service/Administration </w:t>
      </w:r>
      <w:r w:rsidRPr="006A5825">
        <w:rPr>
          <w:rFonts w:ascii="Calibri" w:hAnsi="Calibri" w:cs="Calibri"/>
          <w:kern w:val="0"/>
          <w:sz w:val="22"/>
          <w:szCs w:val="22"/>
        </w:rPr>
        <w:tab/>
      </w:r>
      <w:r w:rsidRPr="006A5825">
        <w:rPr>
          <w:rFonts w:ascii="Calibri" w:hAnsi="Calibri" w:cs="Calibri"/>
          <w:kern w:val="0"/>
          <w:sz w:val="22"/>
          <w:szCs w:val="22"/>
        </w:rPr>
        <w:tab/>
      </w:r>
      <w:r w:rsidRPr="006A5825">
        <w:rPr>
          <w:rFonts w:ascii="Calibri" w:hAnsi="Calibri" w:cs="Calibri"/>
          <w:kern w:val="0"/>
          <w:sz w:val="22"/>
          <w:szCs w:val="22"/>
        </w:rPr>
        <w:tab/>
      </w:r>
      <w:r w:rsidR="006A5825">
        <w:rPr>
          <w:rFonts w:ascii="Calibri" w:hAnsi="Calibri" w:cs="Calibri"/>
          <w:kern w:val="0"/>
          <w:sz w:val="22"/>
          <w:szCs w:val="22"/>
        </w:rPr>
        <w:tab/>
      </w:r>
      <w:r w:rsidRPr="006A5825">
        <w:rPr>
          <w:rFonts w:ascii="Calibri" w:hAnsi="Calibri" w:cs="Calibri"/>
          <w:kern w:val="0"/>
          <w:sz w:val="22"/>
          <w:szCs w:val="22"/>
        </w:rPr>
        <w:t xml:space="preserve">10-30% </w:t>
      </w:r>
      <w:r w:rsidR="006A5825">
        <w:rPr>
          <w:rFonts w:ascii="Calibri" w:hAnsi="Calibri" w:cs="Calibri"/>
          <w:kern w:val="0"/>
          <w:sz w:val="22"/>
          <w:szCs w:val="22"/>
        </w:rPr>
        <w:br/>
      </w:r>
    </w:p>
    <w:p w14:paraId="2D9D3024" w14:textId="77777777" w:rsidR="00A6094F" w:rsidRPr="006A5825" w:rsidRDefault="00A6094F" w:rsidP="00A6094F">
      <w:pPr>
        <w:rPr>
          <w:rFonts w:ascii="Calibri" w:hAnsi="Calibri" w:cs="Calibri"/>
          <w:kern w:val="0"/>
          <w:sz w:val="22"/>
          <w:szCs w:val="22"/>
        </w:rPr>
      </w:pPr>
    </w:p>
    <w:p w14:paraId="024C918D" w14:textId="77777777" w:rsidR="00A6094F" w:rsidRPr="006A5825" w:rsidRDefault="00A6094F" w:rsidP="00A6094F">
      <w:pPr>
        <w:rPr>
          <w:rFonts w:ascii="Calibri" w:hAnsi="Calibri" w:cs="Calibri"/>
          <w:b/>
          <w:bCs/>
          <w:kern w:val="0"/>
          <w:sz w:val="22"/>
          <w:szCs w:val="22"/>
          <w:u w:val="single"/>
        </w:rPr>
      </w:pPr>
      <w:r w:rsidRPr="006A5825">
        <w:rPr>
          <w:rFonts w:ascii="Calibri" w:hAnsi="Calibri" w:cs="Calibri"/>
          <w:b/>
          <w:bCs/>
          <w:kern w:val="0"/>
          <w:sz w:val="22"/>
          <w:szCs w:val="22"/>
          <w:u w:val="single"/>
        </w:rPr>
        <w:t xml:space="preserve">Workloads for Professional Faculty in the Department of History </w:t>
      </w:r>
    </w:p>
    <w:p w14:paraId="4E7871BD" w14:textId="77777777" w:rsidR="00A6094F" w:rsidRPr="006A5825" w:rsidRDefault="00A6094F" w:rsidP="00A6094F">
      <w:pPr>
        <w:rPr>
          <w:rFonts w:ascii="Calibri" w:hAnsi="Calibri" w:cs="Calibri"/>
          <w:kern w:val="0"/>
          <w:sz w:val="22"/>
          <w:szCs w:val="22"/>
        </w:rPr>
      </w:pPr>
      <w:r w:rsidRPr="006A5825">
        <w:rPr>
          <w:rFonts w:ascii="Calibri" w:hAnsi="Calibri" w:cs="Calibri"/>
          <w:kern w:val="0"/>
          <w:sz w:val="22"/>
          <w:szCs w:val="22"/>
        </w:rPr>
        <w:t xml:space="preserve">The workload for professional faculty will consist of teaching and service. The balance between these is determined by the Department Chair based on the needs of the department. </w:t>
      </w:r>
    </w:p>
    <w:p w14:paraId="7DB03D3F" w14:textId="77777777" w:rsidR="00A6094F" w:rsidRPr="006A5825" w:rsidRDefault="00A6094F" w:rsidP="00A6094F">
      <w:pPr>
        <w:rPr>
          <w:rFonts w:ascii="Calibri" w:hAnsi="Calibri" w:cs="Calibri"/>
          <w:kern w:val="0"/>
          <w:sz w:val="22"/>
          <w:szCs w:val="22"/>
        </w:rPr>
      </w:pPr>
    </w:p>
    <w:p w14:paraId="6D2A85B5" w14:textId="38865FF6" w:rsidR="00A6094F" w:rsidRPr="006A5825" w:rsidRDefault="00A6094F" w:rsidP="00A6094F">
      <w:pPr>
        <w:rPr>
          <w:rFonts w:ascii="Calibri" w:hAnsi="Calibri" w:cs="Calibri"/>
          <w:b/>
          <w:bCs/>
          <w:kern w:val="0"/>
          <w:sz w:val="22"/>
          <w:szCs w:val="22"/>
        </w:rPr>
      </w:pPr>
      <w:r w:rsidRPr="006A5825">
        <w:rPr>
          <w:rFonts w:ascii="Calibri" w:hAnsi="Calibri" w:cs="Calibri"/>
          <w:b/>
          <w:bCs/>
          <w:kern w:val="0"/>
          <w:sz w:val="22"/>
          <w:szCs w:val="22"/>
        </w:rPr>
        <w:t xml:space="preserve">Standard Professional Faculty Workload </w:t>
      </w:r>
    </w:p>
    <w:p w14:paraId="13585948" w14:textId="77777777" w:rsidR="00A6094F" w:rsidRPr="006A5825" w:rsidRDefault="00A6094F" w:rsidP="00A6094F">
      <w:pPr>
        <w:rPr>
          <w:rFonts w:ascii="Calibri" w:hAnsi="Calibri" w:cs="Calibri"/>
          <w:kern w:val="0"/>
          <w:sz w:val="22"/>
          <w:szCs w:val="22"/>
        </w:rPr>
      </w:pPr>
      <w:r w:rsidRPr="006A5825">
        <w:rPr>
          <w:rFonts w:ascii="Calibri" w:hAnsi="Calibri" w:cs="Calibri"/>
          <w:kern w:val="0"/>
          <w:sz w:val="22"/>
          <w:szCs w:val="22"/>
        </w:rPr>
        <w:t xml:space="preserve">4-4 course teaching load </w:t>
      </w:r>
      <w:r w:rsidRPr="006A5825">
        <w:rPr>
          <w:rFonts w:ascii="Calibri" w:hAnsi="Calibri" w:cs="Calibri"/>
          <w:kern w:val="0"/>
          <w:sz w:val="22"/>
          <w:szCs w:val="22"/>
        </w:rPr>
        <w:tab/>
      </w:r>
      <w:r w:rsidRPr="006A5825">
        <w:rPr>
          <w:rFonts w:ascii="Calibri" w:hAnsi="Calibri" w:cs="Calibri"/>
          <w:kern w:val="0"/>
          <w:sz w:val="22"/>
          <w:szCs w:val="22"/>
        </w:rPr>
        <w:tab/>
      </w:r>
      <w:r w:rsidRPr="006A5825">
        <w:rPr>
          <w:rFonts w:ascii="Calibri" w:hAnsi="Calibri" w:cs="Calibri"/>
          <w:kern w:val="0"/>
          <w:sz w:val="22"/>
          <w:szCs w:val="22"/>
        </w:rPr>
        <w:tab/>
        <w:t xml:space="preserve">80% </w:t>
      </w:r>
    </w:p>
    <w:p w14:paraId="3F65E19E" w14:textId="35FB56B6" w:rsidR="00A6094F" w:rsidRPr="006A5825" w:rsidRDefault="00A6094F" w:rsidP="00A6094F">
      <w:pPr>
        <w:rPr>
          <w:rFonts w:ascii="Calibri" w:hAnsi="Calibri" w:cs="Calibri"/>
          <w:kern w:val="0"/>
          <w:sz w:val="22"/>
          <w:szCs w:val="22"/>
        </w:rPr>
      </w:pPr>
      <w:r w:rsidRPr="006A5825">
        <w:rPr>
          <w:rFonts w:ascii="Calibri" w:hAnsi="Calibri" w:cs="Calibri"/>
          <w:kern w:val="0"/>
          <w:sz w:val="22"/>
          <w:szCs w:val="22"/>
        </w:rPr>
        <w:t xml:space="preserve">Service </w:t>
      </w:r>
      <w:r w:rsidRPr="006A5825">
        <w:rPr>
          <w:rFonts w:ascii="Calibri" w:hAnsi="Calibri" w:cs="Calibri"/>
          <w:kern w:val="0"/>
          <w:sz w:val="22"/>
          <w:szCs w:val="22"/>
        </w:rPr>
        <w:tab/>
      </w:r>
      <w:r w:rsidRPr="006A5825">
        <w:rPr>
          <w:rFonts w:ascii="Calibri" w:hAnsi="Calibri" w:cs="Calibri"/>
          <w:kern w:val="0"/>
          <w:sz w:val="22"/>
          <w:szCs w:val="22"/>
        </w:rPr>
        <w:tab/>
      </w:r>
      <w:r w:rsidRPr="006A5825">
        <w:rPr>
          <w:rFonts w:ascii="Calibri" w:hAnsi="Calibri" w:cs="Calibri"/>
          <w:kern w:val="0"/>
          <w:sz w:val="22"/>
          <w:szCs w:val="22"/>
        </w:rPr>
        <w:tab/>
      </w:r>
      <w:r w:rsidRPr="006A5825">
        <w:rPr>
          <w:rFonts w:ascii="Calibri" w:hAnsi="Calibri" w:cs="Calibri"/>
          <w:kern w:val="0"/>
          <w:sz w:val="22"/>
          <w:szCs w:val="22"/>
        </w:rPr>
        <w:tab/>
      </w:r>
      <w:r w:rsidRPr="006A5825">
        <w:rPr>
          <w:rFonts w:ascii="Calibri" w:hAnsi="Calibri" w:cs="Calibri"/>
          <w:kern w:val="0"/>
          <w:sz w:val="22"/>
          <w:szCs w:val="22"/>
        </w:rPr>
        <w:tab/>
      </w:r>
      <w:r w:rsidR="006A5825">
        <w:rPr>
          <w:rFonts w:ascii="Calibri" w:hAnsi="Calibri" w:cs="Calibri"/>
          <w:kern w:val="0"/>
          <w:sz w:val="22"/>
          <w:szCs w:val="22"/>
        </w:rPr>
        <w:tab/>
      </w:r>
      <w:r w:rsidRPr="006A5825">
        <w:rPr>
          <w:rFonts w:ascii="Calibri" w:hAnsi="Calibri" w:cs="Calibri"/>
          <w:kern w:val="0"/>
          <w:sz w:val="22"/>
          <w:szCs w:val="22"/>
        </w:rPr>
        <w:t xml:space="preserve">20% </w:t>
      </w:r>
    </w:p>
    <w:p w14:paraId="428D48A9" w14:textId="77777777" w:rsidR="00A6094F" w:rsidRPr="006A5825" w:rsidRDefault="00A6094F" w:rsidP="00A6094F">
      <w:pPr>
        <w:rPr>
          <w:rFonts w:ascii="Calibri" w:hAnsi="Calibri" w:cs="Calibri"/>
          <w:kern w:val="0"/>
          <w:sz w:val="22"/>
          <w:szCs w:val="22"/>
        </w:rPr>
      </w:pPr>
    </w:p>
    <w:p w14:paraId="41294234" w14:textId="77777777" w:rsidR="00A6094F" w:rsidRPr="006A5825" w:rsidRDefault="00A6094F" w:rsidP="00A6094F">
      <w:pPr>
        <w:rPr>
          <w:rFonts w:ascii="Calibri" w:hAnsi="Calibri" w:cs="Calibri"/>
          <w:kern w:val="0"/>
          <w:sz w:val="22"/>
          <w:szCs w:val="22"/>
        </w:rPr>
      </w:pPr>
      <w:r w:rsidRPr="006A5825">
        <w:rPr>
          <w:rFonts w:ascii="Calibri" w:hAnsi="Calibri" w:cs="Calibri"/>
          <w:b/>
          <w:bCs/>
          <w:kern w:val="0"/>
          <w:sz w:val="22"/>
          <w:szCs w:val="22"/>
        </w:rPr>
        <w:t>Teaching/Service balance</w:t>
      </w:r>
      <w:r w:rsidRPr="006A5825">
        <w:rPr>
          <w:rFonts w:ascii="Calibri" w:hAnsi="Calibri" w:cs="Calibri"/>
          <w:kern w:val="0"/>
          <w:sz w:val="22"/>
          <w:szCs w:val="22"/>
        </w:rPr>
        <w:t xml:space="preserve"> </w:t>
      </w:r>
    </w:p>
    <w:p w14:paraId="66DD9151" w14:textId="300C2347" w:rsidR="00A6094F" w:rsidRPr="006A5825" w:rsidRDefault="00A6094F" w:rsidP="00A6094F">
      <w:pPr>
        <w:rPr>
          <w:rFonts w:ascii="Calibri" w:hAnsi="Calibri" w:cs="Calibri"/>
          <w:kern w:val="0"/>
          <w:sz w:val="22"/>
          <w:szCs w:val="22"/>
        </w:rPr>
      </w:pPr>
      <w:r w:rsidRPr="006A5825">
        <w:rPr>
          <w:rFonts w:ascii="Calibri" w:hAnsi="Calibri" w:cs="Calibri"/>
          <w:kern w:val="0"/>
          <w:sz w:val="22"/>
          <w:szCs w:val="22"/>
        </w:rPr>
        <w:t>Assumes a course reduction in return for significant service such as undergraduate or graduate advising, directing a program or center, etc.</w:t>
      </w:r>
      <w:r w:rsidR="006A5825">
        <w:rPr>
          <w:rFonts w:ascii="Calibri" w:hAnsi="Calibri" w:cs="Calibri"/>
          <w:kern w:val="0"/>
          <w:sz w:val="22"/>
          <w:szCs w:val="22"/>
        </w:rPr>
        <w:br/>
      </w:r>
    </w:p>
    <w:p w14:paraId="5D1CB4C1" w14:textId="5F0567D7" w:rsidR="00A6094F" w:rsidRPr="006A5825" w:rsidRDefault="00A6094F" w:rsidP="00A6094F">
      <w:pPr>
        <w:rPr>
          <w:rFonts w:ascii="Calibri" w:hAnsi="Calibri" w:cs="Calibri"/>
          <w:kern w:val="0"/>
          <w:sz w:val="22"/>
          <w:szCs w:val="22"/>
        </w:rPr>
      </w:pPr>
      <w:r w:rsidRPr="006A5825">
        <w:rPr>
          <w:rFonts w:ascii="Calibri" w:hAnsi="Calibri" w:cs="Calibri"/>
          <w:kern w:val="0"/>
          <w:sz w:val="22"/>
          <w:szCs w:val="22"/>
        </w:rPr>
        <w:t xml:space="preserve">3-3 or 3-4 course teaching load </w:t>
      </w:r>
      <w:r w:rsidRPr="006A5825">
        <w:rPr>
          <w:rFonts w:ascii="Calibri" w:hAnsi="Calibri" w:cs="Calibri"/>
          <w:kern w:val="0"/>
          <w:sz w:val="22"/>
          <w:szCs w:val="22"/>
        </w:rPr>
        <w:tab/>
      </w:r>
      <w:r w:rsidRPr="006A5825">
        <w:rPr>
          <w:rFonts w:ascii="Calibri" w:hAnsi="Calibri" w:cs="Calibri"/>
          <w:kern w:val="0"/>
          <w:sz w:val="22"/>
          <w:szCs w:val="22"/>
        </w:rPr>
        <w:tab/>
      </w:r>
      <w:r w:rsidR="006A5825">
        <w:rPr>
          <w:rFonts w:ascii="Calibri" w:hAnsi="Calibri" w:cs="Calibri"/>
          <w:kern w:val="0"/>
          <w:sz w:val="22"/>
          <w:szCs w:val="22"/>
        </w:rPr>
        <w:tab/>
      </w:r>
      <w:r w:rsidRPr="006A5825">
        <w:rPr>
          <w:rFonts w:ascii="Calibri" w:hAnsi="Calibri" w:cs="Calibri"/>
          <w:kern w:val="0"/>
          <w:sz w:val="22"/>
          <w:szCs w:val="22"/>
        </w:rPr>
        <w:t xml:space="preserve">60%-70% </w:t>
      </w:r>
    </w:p>
    <w:p w14:paraId="314F3245" w14:textId="6D6D7992" w:rsidR="00A6094F" w:rsidRPr="006A5825" w:rsidRDefault="00A6094F" w:rsidP="00A6094F">
      <w:pPr>
        <w:rPr>
          <w:rFonts w:ascii="Calibri" w:hAnsi="Calibri" w:cs="Calibri"/>
          <w:kern w:val="0"/>
          <w:sz w:val="22"/>
          <w:szCs w:val="22"/>
        </w:rPr>
      </w:pPr>
      <w:r w:rsidRPr="006A5825">
        <w:rPr>
          <w:rFonts w:ascii="Calibri" w:hAnsi="Calibri" w:cs="Calibri"/>
          <w:kern w:val="0"/>
          <w:sz w:val="22"/>
          <w:szCs w:val="22"/>
        </w:rPr>
        <w:t xml:space="preserve">Service </w:t>
      </w:r>
      <w:r w:rsidRPr="006A5825">
        <w:rPr>
          <w:rFonts w:ascii="Calibri" w:hAnsi="Calibri" w:cs="Calibri"/>
          <w:kern w:val="0"/>
          <w:sz w:val="22"/>
          <w:szCs w:val="22"/>
        </w:rPr>
        <w:tab/>
      </w:r>
      <w:r w:rsidRPr="006A5825">
        <w:rPr>
          <w:rFonts w:ascii="Calibri" w:hAnsi="Calibri" w:cs="Calibri"/>
          <w:kern w:val="0"/>
          <w:sz w:val="22"/>
          <w:szCs w:val="22"/>
        </w:rPr>
        <w:tab/>
      </w:r>
      <w:r w:rsidRPr="006A5825">
        <w:rPr>
          <w:rFonts w:ascii="Calibri" w:hAnsi="Calibri" w:cs="Calibri"/>
          <w:kern w:val="0"/>
          <w:sz w:val="22"/>
          <w:szCs w:val="22"/>
        </w:rPr>
        <w:tab/>
      </w:r>
      <w:r w:rsidRPr="006A5825">
        <w:rPr>
          <w:rFonts w:ascii="Calibri" w:hAnsi="Calibri" w:cs="Calibri"/>
          <w:kern w:val="0"/>
          <w:sz w:val="22"/>
          <w:szCs w:val="22"/>
        </w:rPr>
        <w:tab/>
      </w:r>
      <w:r w:rsidRPr="006A5825">
        <w:rPr>
          <w:rFonts w:ascii="Calibri" w:hAnsi="Calibri" w:cs="Calibri"/>
          <w:kern w:val="0"/>
          <w:sz w:val="22"/>
          <w:szCs w:val="22"/>
        </w:rPr>
        <w:tab/>
      </w:r>
      <w:r w:rsidR="006A5825">
        <w:rPr>
          <w:rFonts w:ascii="Calibri" w:hAnsi="Calibri" w:cs="Calibri"/>
          <w:kern w:val="0"/>
          <w:sz w:val="22"/>
          <w:szCs w:val="22"/>
        </w:rPr>
        <w:tab/>
      </w:r>
      <w:r w:rsidRPr="006A5825">
        <w:rPr>
          <w:rFonts w:ascii="Calibri" w:hAnsi="Calibri" w:cs="Calibri"/>
          <w:kern w:val="0"/>
          <w:sz w:val="22"/>
          <w:szCs w:val="22"/>
        </w:rPr>
        <w:t xml:space="preserve">30-40% </w:t>
      </w:r>
    </w:p>
    <w:p w14:paraId="464858F5" w14:textId="77777777" w:rsidR="00A6094F" w:rsidRPr="006A5825" w:rsidRDefault="00A6094F" w:rsidP="00A6094F">
      <w:pPr>
        <w:rPr>
          <w:rFonts w:ascii="Calibri" w:hAnsi="Calibri" w:cs="Calibri"/>
          <w:kern w:val="0"/>
          <w:sz w:val="22"/>
          <w:szCs w:val="22"/>
        </w:rPr>
      </w:pPr>
    </w:p>
    <w:p w14:paraId="60898B50" w14:textId="77777777" w:rsidR="00A6094F" w:rsidRPr="006A5825" w:rsidRDefault="00A6094F" w:rsidP="00A6094F">
      <w:pPr>
        <w:rPr>
          <w:rFonts w:ascii="Calibri" w:hAnsi="Calibri" w:cs="Calibri"/>
          <w:kern w:val="0"/>
          <w:sz w:val="22"/>
          <w:szCs w:val="22"/>
        </w:rPr>
      </w:pPr>
      <w:r w:rsidRPr="006A5825">
        <w:rPr>
          <w:rFonts w:ascii="Calibri" w:hAnsi="Calibri" w:cs="Calibri"/>
          <w:b/>
          <w:bCs/>
          <w:kern w:val="0"/>
          <w:sz w:val="22"/>
          <w:szCs w:val="22"/>
        </w:rPr>
        <w:t>Service Emphasis</w:t>
      </w:r>
      <w:r w:rsidRPr="006A5825">
        <w:rPr>
          <w:rFonts w:ascii="Calibri" w:hAnsi="Calibri" w:cs="Calibri"/>
          <w:kern w:val="0"/>
          <w:sz w:val="22"/>
          <w:szCs w:val="22"/>
        </w:rPr>
        <w:t xml:space="preserve"> </w:t>
      </w:r>
    </w:p>
    <w:p w14:paraId="17B273E0" w14:textId="77A60A9D" w:rsidR="00A6094F" w:rsidRPr="006A5825" w:rsidRDefault="00A6094F" w:rsidP="00A6094F">
      <w:pPr>
        <w:rPr>
          <w:rFonts w:ascii="Calibri" w:hAnsi="Calibri" w:cs="Calibri"/>
          <w:kern w:val="0"/>
          <w:sz w:val="22"/>
          <w:szCs w:val="22"/>
        </w:rPr>
      </w:pPr>
      <w:r w:rsidRPr="006A5825">
        <w:rPr>
          <w:rFonts w:ascii="Calibri" w:hAnsi="Calibri" w:cs="Calibri"/>
          <w:kern w:val="0"/>
          <w:sz w:val="22"/>
          <w:szCs w:val="22"/>
        </w:rPr>
        <w:lastRenderedPageBreak/>
        <w:t>Assumes multiple course reductions for extensive service</w:t>
      </w:r>
      <w:r w:rsidR="006A5825">
        <w:rPr>
          <w:rFonts w:ascii="Calibri" w:hAnsi="Calibri" w:cs="Calibri"/>
          <w:kern w:val="0"/>
          <w:sz w:val="22"/>
          <w:szCs w:val="22"/>
        </w:rPr>
        <w:t>.</w:t>
      </w:r>
    </w:p>
    <w:p w14:paraId="34141CDC" w14:textId="37F221BF" w:rsidR="00A6094F" w:rsidRPr="006A5825" w:rsidRDefault="00A6094F" w:rsidP="00A6094F">
      <w:pPr>
        <w:rPr>
          <w:rFonts w:ascii="Calibri" w:hAnsi="Calibri" w:cs="Calibri"/>
          <w:kern w:val="0"/>
          <w:sz w:val="22"/>
          <w:szCs w:val="22"/>
        </w:rPr>
      </w:pPr>
      <w:r w:rsidRPr="006A5825">
        <w:rPr>
          <w:rFonts w:ascii="Calibri" w:hAnsi="Calibri" w:cs="Calibri"/>
          <w:kern w:val="0"/>
          <w:sz w:val="22"/>
          <w:szCs w:val="22"/>
        </w:rPr>
        <w:t xml:space="preserve">2-1, 2-2, or 2-3, course teaching load </w:t>
      </w:r>
      <w:r w:rsidRPr="006A5825">
        <w:rPr>
          <w:rFonts w:ascii="Calibri" w:hAnsi="Calibri" w:cs="Calibri"/>
          <w:kern w:val="0"/>
          <w:sz w:val="22"/>
          <w:szCs w:val="22"/>
        </w:rPr>
        <w:tab/>
      </w:r>
      <w:r w:rsidR="006A5825">
        <w:rPr>
          <w:rFonts w:ascii="Calibri" w:hAnsi="Calibri" w:cs="Calibri"/>
          <w:kern w:val="0"/>
          <w:sz w:val="22"/>
          <w:szCs w:val="22"/>
        </w:rPr>
        <w:tab/>
      </w:r>
      <w:r w:rsidRPr="006A5825">
        <w:rPr>
          <w:rFonts w:ascii="Calibri" w:hAnsi="Calibri" w:cs="Calibri"/>
          <w:kern w:val="0"/>
          <w:sz w:val="22"/>
          <w:szCs w:val="22"/>
        </w:rPr>
        <w:t xml:space="preserve">30-50% </w:t>
      </w:r>
    </w:p>
    <w:p w14:paraId="02A3FE84" w14:textId="77777777" w:rsidR="00A6094F" w:rsidRPr="006A5825" w:rsidRDefault="00A6094F" w:rsidP="00A6094F">
      <w:pPr>
        <w:rPr>
          <w:rFonts w:ascii="Calibri" w:hAnsi="Calibri" w:cs="Calibri"/>
          <w:kern w:val="0"/>
          <w:sz w:val="22"/>
          <w:szCs w:val="22"/>
        </w:rPr>
      </w:pPr>
      <w:r w:rsidRPr="006A5825">
        <w:rPr>
          <w:rFonts w:ascii="Calibri" w:hAnsi="Calibri" w:cs="Calibri"/>
          <w:kern w:val="0"/>
          <w:sz w:val="22"/>
          <w:szCs w:val="22"/>
        </w:rPr>
        <w:t>Service</w:t>
      </w:r>
      <w:r w:rsidRPr="006A5825">
        <w:rPr>
          <w:rFonts w:ascii="Calibri" w:hAnsi="Calibri" w:cs="Calibri"/>
          <w:kern w:val="0"/>
          <w:sz w:val="22"/>
          <w:szCs w:val="22"/>
        </w:rPr>
        <w:tab/>
      </w:r>
      <w:r w:rsidRPr="006A5825">
        <w:rPr>
          <w:rFonts w:ascii="Calibri" w:hAnsi="Calibri" w:cs="Calibri"/>
          <w:kern w:val="0"/>
          <w:sz w:val="22"/>
          <w:szCs w:val="22"/>
        </w:rPr>
        <w:tab/>
      </w:r>
      <w:r w:rsidRPr="006A5825">
        <w:rPr>
          <w:rFonts w:ascii="Calibri" w:hAnsi="Calibri" w:cs="Calibri"/>
          <w:kern w:val="0"/>
          <w:sz w:val="22"/>
          <w:szCs w:val="22"/>
        </w:rPr>
        <w:tab/>
      </w:r>
      <w:r w:rsidRPr="006A5825">
        <w:rPr>
          <w:rFonts w:ascii="Calibri" w:hAnsi="Calibri" w:cs="Calibri"/>
          <w:kern w:val="0"/>
          <w:sz w:val="22"/>
          <w:szCs w:val="22"/>
        </w:rPr>
        <w:tab/>
      </w:r>
      <w:r w:rsidRPr="006A5825">
        <w:rPr>
          <w:rFonts w:ascii="Calibri" w:hAnsi="Calibri" w:cs="Calibri"/>
          <w:kern w:val="0"/>
          <w:sz w:val="22"/>
          <w:szCs w:val="22"/>
        </w:rPr>
        <w:tab/>
      </w:r>
      <w:r w:rsidRPr="006A5825">
        <w:rPr>
          <w:rFonts w:ascii="Calibri" w:hAnsi="Calibri" w:cs="Calibri"/>
          <w:kern w:val="0"/>
          <w:sz w:val="22"/>
          <w:szCs w:val="22"/>
        </w:rPr>
        <w:tab/>
        <w:t xml:space="preserve">50-70% </w:t>
      </w:r>
    </w:p>
    <w:p w14:paraId="6867B237" w14:textId="77777777" w:rsidR="00A6094F" w:rsidRPr="006A5825" w:rsidRDefault="00A6094F" w:rsidP="00A6094F">
      <w:pPr>
        <w:rPr>
          <w:rFonts w:ascii="Calibri" w:hAnsi="Calibri" w:cs="Calibri"/>
          <w:kern w:val="0"/>
          <w:sz w:val="22"/>
          <w:szCs w:val="22"/>
        </w:rPr>
      </w:pPr>
    </w:p>
    <w:p w14:paraId="6D2CE4E3" w14:textId="77777777" w:rsidR="00A6094F" w:rsidRPr="006A5825" w:rsidRDefault="00A6094F" w:rsidP="00A6094F">
      <w:pPr>
        <w:rPr>
          <w:rFonts w:ascii="Calibri" w:hAnsi="Calibri" w:cs="Calibri"/>
          <w:kern w:val="0"/>
          <w:sz w:val="22"/>
          <w:szCs w:val="22"/>
          <w:u w:val="single"/>
        </w:rPr>
      </w:pPr>
      <w:r w:rsidRPr="006A5825">
        <w:rPr>
          <w:rFonts w:ascii="Calibri" w:hAnsi="Calibri" w:cs="Calibri"/>
          <w:b/>
          <w:bCs/>
          <w:kern w:val="0"/>
          <w:sz w:val="22"/>
          <w:szCs w:val="22"/>
          <w:u w:val="single"/>
        </w:rPr>
        <w:t>Determination of Workload</w:t>
      </w:r>
    </w:p>
    <w:p w14:paraId="6E55C170" w14:textId="0902B6D6" w:rsidR="00A6094F" w:rsidRPr="006A5825" w:rsidRDefault="00A6094F" w:rsidP="00A6094F">
      <w:pPr>
        <w:rPr>
          <w:rFonts w:ascii="Calibri" w:hAnsi="Calibri" w:cs="Calibri"/>
          <w:kern w:val="0"/>
          <w:sz w:val="22"/>
          <w:szCs w:val="22"/>
        </w:rPr>
      </w:pPr>
      <w:r w:rsidRPr="006A5825">
        <w:rPr>
          <w:rFonts w:ascii="Calibri" w:hAnsi="Calibri" w:cs="Calibri"/>
          <w:kern w:val="0"/>
          <w:sz w:val="22"/>
          <w:szCs w:val="22"/>
        </w:rPr>
        <w:t>Each spring semester</w:t>
      </w:r>
      <w:r w:rsidR="006A5825">
        <w:rPr>
          <w:rFonts w:ascii="Calibri" w:hAnsi="Calibri" w:cs="Calibri"/>
          <w:kern w:val="0"/>
          <w:sz w:val="22"/>
          <w:szCs w:val="22"/>
        </w:rPr>
        <w:t xml:space="preserve"> during annual evaluations</w:t>
      </w:r>
      <w:r w:rsidRPr="006A5825">
        <w:rPr>
          <w:rFonts w:ascii="Calibri" w:hAnsi="Calibri" w:cs="Calibri"/>
          <w:kern w:val="0"/>
          <w:sz w:val="22"/>
          <w:szCs w:val="22"/>
        </w:rPr>
        <w:t>, the Department Chair</w:t>
      </w:r>
      <w:r w:rsidR="006A5825">
        <w:rPr>
          <w:rFonts w:ascii="Calibri" w:hAnsi="Calibri" w:cs="Calibri"/>
          <w:kern w:val="0"/>
          <w:sz w:val="22"/>
          <w:szCs w:val="22"/>
        </w:rPr>
        <w:t xml:space="preserve"> and the</w:t>
      </w:r>
      <w:r w:rsidRPr="006A5825">
        <w:rPr>
          <w:rFonts w:ascii="Calibri" w:hAnsi="Calibri" w:cs="Calibri"/>
          <w:kern w:val="0"/>
          <w:sz w:val="22"/>
          <w:szCs w:val="22"/>
        </w:rPr>
        <w:t xml:space="preserve"> DAC</w:t>
      </w:r>
      <w:r w:rsidR="006A5825">
        <w:rPr>
          <w:rFonts w:ascii="Calibri" w:hAnsi="Calibri" w:cs="Calibri"/>
          <w:kern w:val="0"/>
          <w:sz w:val="22"/>
          <w:szCs w:val="22"/>
        </w:rPr>
        <w:t xml:space="preserve"> </w:t>
      </w:r>
      <w:r w:rsidRPr="006A5825">
        <w:rPr>
          <w:rFonts w:ascii="Calibri" w:hAnsi="Calibri" w:cs="Calibri"/>
          <w:kern w:val="0"/>
          <w:sz w:val="22"/>
          <w:szCs w:val="22"/>
        </w:rPr>
        <w:t xml:space="preserve">will discuss the workload for each full-time faculty member for the following academic year. The Department Chair will also consult with each faculty member and take the following factors under consideration: </w:t>
      </w:r>
      <w:r w:rsidRPr="006A5825">
        <w:rPr>
          <w:rFonts w:ascii="Calibri" w:hAnsi="Calibri" w:cs="Calibri"/>
          <w:kern w:val="0"/>
          <w:sz w:val="22"/>
          <w:szCs w:val="22"/>
        </w:rPr>
        <w:br/>
      </w:r>
    </w:p>
    <w:p w14:paraId="6AEAD1F5" w14:textId="4A86DC1A" w:rsidR="00A6094F" w:rsidRPr="006A5825" w:rsidRDefault="00A6094F" w:rsidP="00A6094F">
      <w:pPr>
        <w:ind w:firstLine="720"/>
        <w:rPr>
          <w:rFonts w:ascii="Calibri" w:hAnsi="Calibri" w:cs="Calibri"/>
          <w:kern w:val="0"/>
          <w:sz w:val="22"/>
          <w:szCs w:val="22"/>
        </w:rPr>
      </w:pPr>
      <w:r w:rsidRPr="006A5825">
        <w:rPr>
          <w:rFonts w:ascii="Calibri" w:hAnsi="Calibri" w:cs="Calibri"/>
          <w:kern w:val="0"/>
          <w:sz w:val="22"/>
          <w:szCs w:val="22"/>
        </w:rPr>
        <w:t xml:space="preserve">1. The </w:t>
      </w:r>
      <w:hyperlink r:id="rId6" w:history="1">
        <w:r w:rsidRPr="006A5825">
          <w:rPr>
            <w:rStyle w:val="Hyperlink"/>
            <w:rFonts w:ascii="Calibri" w:hAnsi="Calibri" w:cs="Calibri"/>
            <w:kern w:val="0"/>
            <w:sz w:val="22"/>
            <w:szCs w:val="22"/>
          </w:rPr>
          <w:t>annual evaluation of faculty</w:t>
        </w:r>
      </w:hyperlink>
      <w:r w:rsidR="008920D3" w:rsidRPr="006A5825">
        <w:rPr>
          <w:rFonts w:ascii="Calibri" w:hAnsi="Calibri" w:cs="Calibri"/>
          <w:kern w:val="0"/>
          <w:sz w:val="22"/>
          <w:szCs w:val="22"/>
        </w:rPr>
        <w:t xml:space="preserve"> by the DAC and Department Chair</w:t>
      </w:r>
      <w:r w:rsidRPr="006A5825">
        <w:rPr>
          <w:rFonts w:ascii="Calibri" w:hAnsi="Calibri" w:cs="Calibri"/>
          <w:kern w:val="0"/>
          <w:sz w:val="22"/>
          <w:szCs w:val="22"/>
        </w:rPr>
        <w:t xml:space="preserve"> </w:t>
      </w:r>
    </w:p>
    <w:p w14:paraId="63A6E17D" w14:textId="77777777" w:rsidR="006A5825" w:rsidRDefault="00A6094F" w:rsidP="006A5825">
      <w:pPr>
        <w:ind w:firstLine="720"/>
        <w:rPr>
          <w:rFonts w:ascii="Calibri" w:hAnsi="Calibri" w:cs="Calibri"/>
          <w:kern w:val="0"/>
          <w:sz w:val="22"/>
          <w:szCs w:val="22"/>
        </w:rPr>
      </w:pPr>
      <w:r w:rsidRPr="006A5825">
        <w:rPr>
          <w:rFonts w:ascii="Calibri" w:hAnsi="Calibri" w:cs="Calibri"/>
          <w:kern w:val="0"/>
          <w:sz w:val="22"/>
          <w:szCs w:val="22"/>
        </w:rPr>
        <w:t xml:space="preserve">2. An assessment of the faculty member’s research productivity, if applicable </w:t>
      </w:r>
    </w:p>
    <w:p w14:paraId="17F139EC" w14:textId="70150300" w:rsidR="00A6094F" w:rsidRPr="006A5825" w:rsidRDefault="006A5825" w:rsidP="000C32A7">
      <w:pPr>
        <w:ind w:firstLine="720"/>
        <w:rPr>
          <w:rFonts w:ascii="Calibri" w:hAnsi="Calibri" w:cs="Calibri"/>
          <w:kern w:val="0"/>
          <w:sz w:val="22"/>
          <w:szCs w:val="22"/>
        </w:rPr>
      </w:pPr>
      <w:r>
        <w:rPr>
          <w:rFonts w:ascii="Calibri" w:hAnsi="Calibri" w:cs="Calibri"/>
          <w:kern w:val="0"/>
          <w:sz w:val="22"/>
          <w:szCs w:val="22"/>
        </w:rPr>
        <w:t xml:space="preserve">3. </w:t>
      </w:r>
      <w:r w:rsidR="00A6094F" w:rsidRPr="006A5825">
        <w:rPr>
          <w:rFonts w:ascii="Calibri" w:hAnsi="Calibri" w:cs="Calibri"/>
          <w:kern w:val="0"/>
          <w:sz w:val="22"/>
          <w:szCs w:val="22"/>
        </w:rPr>
        <w:t xml:space="preserve">Departmental needs in the areas of teaching and service </w:t>
      </w:r>
    </w:p>
    <w:p w14:paraId="1C47CCE2" w14:textId="77777777" w:rsidR="00A6094F" w:rsidRPr="006A5825" w:rsidRDefault="00A6094F" w:rsidP="00A6094F">
      <w:pPr>
        <w:pStyle w:val="ListParagraph"/>
        <w:ind w:left="1080"/>
        <w:rPr>
          <w:rFonts w:ascii="Calibri" w:hAnsi="Calibri" w:cs="Calibri"/>
          <w:kern w:val="0"/>
          <w:sz w:val="22"/>
          <w:szCs w:val="22"/>
        </w:rPr>
      </w:pPr>
    </w:p>
    <w:p w14:paraId="098BABC8" w14:textId="4E22F30B" w:rsidR="00A6094F" w:rsidRPr="006A5825" w:rsidRDefault="00A6094F" w:rsidP="00A6094F">
      <w:pPr>
        <w:rPr>
          <w:rFonts w:ascii="Calibri" w:hAnsi="Calibri" w:cs="Calibri"/>
          <w:kern w:val="0"/>
          <w:sz w:val="22"/>
          <w:szCs w:val="22"/>
        </w:rPr>
      </w:pPr>
      <w:r w:rsidRPr="006A5825">
        <w:rPr>
          <w:rFonts w:ascii="Calibri" w:hAnsi="Calibri" w:cs="Calibri"/>
          <w:kern w:val="0"/>
          <w:sz w:val="22"/>
          <w:szCs w:val="22"/>
        </w:rPr>
        <w:t xml:space="preserve">Faculty may request workload adjustments when they receive their annual evaluation. Final workload percentages for </w:t>
      </w:r>
      <w:r w:rsidR="0089104E">
        <w:rPr>
          <w:rFonts w:ascii="Calibri" w:hAnsi="Calibri" w:cs="Calibri"/>
          <w:kern w:val="0"/>
          <w:sz w:val="22"/>
          <w:szCs w:val="22"/>
        </w:rPr>
        <w:t>all</w:t>
      </w:r>
      <w:r w:rsidRPr="006A5825">
        <w:rPr>
          <w:rFonts w:ascii="Calibri" w:hAnsi="Calibri" w:cs="Calibri"/>
          <w:kern w:val="0"/>
          <w:sz w:val="22"/>
          <w:szCs w:val="22"/>
        </w:rPr>
        <w:t xml:space="preserve"> faculty member</w:t>
      </w:r>
      <w:r w:rsidR="0089104E">
        <w:rPr>
          <w:rFonts w:ascii="Calibri" w:hAnsi="Calibri" w:cs="Calibri"/>
          <w:kern w:val="0"/>
          <w:sz w:val="22"/>
          <w:szCs w:val="22"/>
        </w:rPr>
        <w:t>s</w:t>
      </w:r>
      <w:r w:rsidRPr="006A5825">
        <w:rPr>
          <w:rFonts w:ascii="Calibri" w:hAnsi="Calibri" w:cs="Calibri"/>
          <w:kern w:val="0"/>
          <w:sz w:val="22"/>
          <w:szCs w:val="22"/>
        </w:rPr>
        <w:t xml:space="preserve"> will be sent out by the chair </w:t>
      </w:r>
      <w:r w:rsidR="0089104E">
        <w:rPr>
          <w:rFonts w:ascii="Calibri" w:hAnsi="Calibri" w:cs="Calibri"/>
          <w:kern w:val="0"/>
          <w:sz w:val="22"/>
          <w:szCs w:val="22"/>
        </w:rPr>
        <w:t>by</w:t>
      </w:r>
      <w:r w:rsidRPr="006A5825">
        <w:rPr>
          <w:rFonts w:ascii="Calibri" w:hAnsi="Calibri" w:cs="Calibri"/>
          <w:kern w:val="0"/>
          <w:sz w:val="22"/>
          <w:szCs w:val="22"/>
        </w:rPr>
        <w:t xml:space="preserve"> August of each academic year, ahead of the start of classes. </w:t>
      </w:r>
    </w:p>
    <w:p w14:paraId="4E49DB8A" w14:textId="77777777" w:rsidR="00A6094F" w:rsidRPr="006A5825" w:rsidRDefault="00A6094F" w:rsidP="00A6094F">
      <w:pPr>
        <w:rPr>
          <w:rFonts w:ascii="Calibri" w:hAnsi="Calibri" w:cs="Calibri"/>
          <w:kern w:val="0"/>
          <w:sz w:val="22"/>
          <w:szCs w:val="22"/>
        </w:rPr>
      </w:pPr>
    </w:p>
    <w:p w14:paraId="02782CB5" w14:textId="77777777" w:rsidR="00A6094F" w:rsidRPr="006A5825" w:rsidRDefault="00A6094F" w:rsidP="00A6094F">
      <w:pPr>
        <w:rPr>
          <w:rFonts w:ascii="Calibri" w:hAnsi="Calibri" w:cs="Calibri"/>
          <w:kern w:val="0"/>
          <w:sz w:val="22"/>
          <w:szCs w:val="22"/>
        </w:rPr>
      </w:pPr>
      <w:r w:rsidRPr="006A5825">
        <w:rPr>
          <w:rFonts w:ascii="Calibri" w:hAnsi="Calibri" w:cs="Calibri"/>
          <w:kern w:val="0"/>
          <w:sz w:val="22"/>
          <w:szCs w:val="22"/>
        </w:rPr>
        <w:t xml:space="preserve">In determining teaching loads, the Department Chair may grant a course release to a faculty member who will be responsible for supervising an unusually large number of dissertations, theses, and comprehensive examinations if such a course release is in the best interests of the department. The department’s system of </w:t>
      </w:r>
      <w:hyperlink r:id="rId7" w:history="1">
        <w:r w:rsidRPr="006A5825">
          <w:rPr>
            <w:rStyle w:val="Hyperlink"/>
            <w:rFonts w:ascii="Calibri" w:hAnsi="Calibri" w:cs="Calibri"/>
            <w:kern w:val="0"/>
            <w:sz w:val="22"/>
            <w:szCs w:val="22"/>
          </w:rPr>
          <w:t>Graduate Mentoring Points</w:t>
        </w:r>
      </w:hyperlink>
      <w:r w:rsidRPr="006A5825">
        <w:rPr>
          <w:rFonts w:ascii="Calibri" w:hAnsi="Calibri" w:cs="Calibri"/>
          <w:kern w:val="0"/>
          <w:sz w:val="22"/>
          <w:szCs w:val="22"/>
        </w:rPr>
        <w:t xml:space="preserve"> is the process by which the chair will typically determine eligibility for such a course release. The Department Chair may also grant a release for service needs or special projects if such a course release is in the best interests of the department. </w:t>
      </w:r>
    </w:p>
    <w:p w14:paraId="5757BAA0" w14:textId="77777777" w:rsidR="00A6094F" w:rsidRPr="006A5825" w:rsidRDefault="00A6094F" w:rsidP="00A6094F">
      <w:pPr>
        <w:rPr>
          <w:rFonts w:ascii="Calibri" w:hAnsi="Calibri" w:cs="Calibri"/>
          <w:kern w:val="0"/>
          <w:sz w:val="22"/>
          <w:szCs w:val="22"/>
        </w:rPr>
      </w:pPr>
    </w:p>
    <w:p w14:paraId="5B9F5FAC" w14:textId="77777777" w:rsidR="00A6094F" w:rsidRPr="006A5825" w:rsidRDefault="00A6094F" w:rsidP="00A6094F">
      <w:pPr>
        <w:rPr>
          <w:rFonts w:ascii="Calibri" w:hAnsi="Calibri" w:cs="Calibri"/>
          <w:kern w:val="0"/>
          <w:sz w:val="22"/>
          <w:szCs w:val="22"/>
        </w:rPr>
      </w:pPr>
      <w:r w:rsidRPr="006A5825">
        <w:rPr>
          <w:rFonts w:ascii="Calibri" w:hAnsi="Calibri" w:cs="Calibri"/>
          <w:kern w:val="0"/>
          <w:sz w:val="22"/>
          <w:szCs w:val="22"/>
        </w:rPr>
        <w:t xml:space="preserve">Faculty transitioning from an administrative workload (such as Department Chair, Associate Dean or other administrative duties that amounted to over 50% of the faculty member’s workload) may request a standard research emphasis workload or an alternative workload. </w:t>
      </w:r>
    </w:p>
    <w:p w14:paraId="0C262846" w14:textId="77777777" w:rsidR="00A6094F" w:rsidRPr="006A5825" w:rsidRDefault="00A6094F" w:rsidP="00A6094F">
      <w:pPr>
        <w:rPr>
          <w:rFonts w:ascii="Calibri" w:hAnsi="Calibri" w:cs="Calibri"/>
          <w:kern w:val="0"/>
          <w:sz w:val="22"/>
          <w:szCs w:val="22"/>
        </w:rPr>
      </w:pPr>
    </w:p>
    <w:p w14:paraId="2EE3B04A" w14:textId="77777777" w:rsidR="00A6094F" w:rsidRPr="006A5825" w:rsidRDefault="00A6094F" w:rsidP="00A6094F">
      <w:pPr>
        <w:rPr>
          <w:rFonts w:ascii="Calibri" w:hAnsi="Calibri" w:cs="Calibri"/>
          <w:b/>
          <w:bCs/>
          <w:kern w:val="0"/>
          <w:sz w:val="22"/>
          <w:szCs w:val="22"/>
          <w:u w:val="single"/>
        </w:rPr>
      </w:pPr>
      <w:r w:rsidRPr="006A5825">
        <w:rPr>
          <w:rFonts w:ascii="Calibri" w:hAnsi="Calibri" w:cs="Calibri"/>
          <w:b/>
          <w:bCs/>
          <w:kern w:val="0"/>
          <w:sz w:val="22"/>
          <w:szCs w:val="22"/>
          <w:u w:val="single"/>
        </w:rPr>
        <w:t>Determining Research Productivity</w:t>
      </w:r>
    </w:p>
    <w:p w14:paraId="6FEEDCD3" w14:textId="77777777" w:rsidR="00A6094F" w:rsidRPr="006A5825" w:rsidRDefault="00A6094F" w:rsidP="00A6094F">
      <w:pPr>
        <w:rPr>
          <w:rFonts w:ascii="Calibri" w:hAnsi="Calibri" w:cs="Calibri"/>
          <w:kern w:val="0"/>
          <w:sz w:val="22"/>
          <w:szCs w:val="22"/>
        </w:rPr>
      </w:pPr>
      <w:r w:rsidRPr="006A5825">
        <w:rPr>
          <w:rFonts w:ascii="Calibri" w:hAnsi="Calibri" w:cs="Calibri"/>
          <w:kern w:val="0"/>
          <w:sz w:val="22"/>
          <w:szCs w:val="22"/>
        </w:rPr>
        <w:t xml:space="preserve">In making the determination of research productivity when determining workload for non-administrative tenured faculty, the Department Chair will be guided by the expectation that a research-productive member of the History faculty is expected to produce at least one “supplementary work” every four years, and at least one major research product such as a book, a series of articles, a major digital project, or another major contribution every eight academic years. Definitions of “supplementary” works and “major” works are made in the departmental </w:t>
      </w:r>
      <w:hyperlink r:id="rId8" w:history="1">
        <w:r w:rsidRPr="006A5825">
          <w:rPr>
            <w:rStyle w:val="Hyperlink"/>
            <w:rFonts w:ascii="Calibri" w:hAnsi="Calibri" w:cs="Calibri"/>
            <w:kern w:val="0"/>
            <w:sz w:val="22"/>
            <w:szCs w:val="22"/>
          </w:rPr>
          <w:t>Guidelines for Tenure and Promotion Committees</w:t>
        </w:r>
      </w:hyperlink>
      <w:r w:rsidRPr="006A5825">
        <w:rPr>
          <w:rFonts w:ascii="Calibri" w:hAnsi="Calibri" w:cs="Calibri"/>
          <w:kern w:val="0"/>
          <w:sz w:val="22"/>
          <w:szCs w:val="22"/>
        </w:rPr>
        <w:t>.</w:t>
      </w:r>
    </w:p>
    <w:p w14:paraId="399A719B" w14:textId="77777777" w:rsidR="00A6094F" w:rsidRPr="006A5825" w:rsidRDefault="00A6094F" w:rsidP="00A6094F">
      <w:pPr>
        <w:rPr>
          <w:rFonts w:ascii="Calibri" w:hAnsi="Calibri" w:cs="Calibri"/>
          <w:kern w:val="0"/>
          <w:sz w:val="22"/>
          <w:szCs w:val="22"/>
        </w:rPr>
      </w:pPr>
    </w:p>
    <w:p w14:paraId="750510CF" w14:textId="2B9C01AB" w:rsidR="00A6094F" w:rsidRPr="006A5825" w:rsidRDefault="00A6094F" w:rsidP="00A6094F">
      <w:pPr>
        <w:rPr>
          <w:rFonts w:ascii="Calibri" w:hAnsi="Calibri" w:cs="Calibri"/>
          <w:kern w:val="0"/>
          <w:sz w:val="22"/>
          <w:szCs w:val="22"/>
        </w:rPr>
      </w:pPr>
      <w:r w:rsidRPr="006A5825">
        <w:rPr>
          <w:rFonts w:ascii="Calibri" w:hAnsi="Calibri" w:cs="Calibri"/>
          <w:kern w:val="0"/>
          <w:sz w:val="22"/>
          <w:szCs w:val="22"/>
        </w:rPr>
        <w:t xml:space="preserve">Faculty </w:t>
      </w:r>
      <w:r w:rsidR="006A5825">
        <w:rPr>
          <w:rFonts w:ascii="Calibri" w:hAnsi="Calibri" w:cs="Calibri"/>
          <w:kern w:val="0"/>
          <w:sz w:val="22"/>
          <w:szCs w:val="22"/>
        </w:rPr>
        <w:t xml:space="preserve">who have not hit these milestones but </w:t>
      </w:r>
      <w:r w:rsidRPr="006A5825">
        <w:rPr>
          <w:rFonts w:ascii="Calibri" w:hAnsi="Calibri" w:cs="Calibri"/>
          <w:kern w:val="0"/>
          <w:sz w:val="22"/>
          <w:szCs w:val="22"/>
        </w:rPr>
        <w:t xml:space="preserve">who wish to maintain a research-productive workload may submit a detailed research plan for their current project that demonstrates meaningful progress on a specific timetable, with concrete evidence of work completed. </w:t>
      </w:r>
      <w:r w:rsidR="006A5825">
        <w:rPr>
          <w:rFonts w:ascii="Calibri" w:hAnsi="Calibri" w:cs="Calibri"/>
          <w:kern w:val="0"/>
          <w:sz w:val="22"/>
          <w:szCs w:val="22"/>
        </w:rPr>
        <w:t>Such a plan</w:t>
      </w:r>
      <w:r w:rsidRPr="006A5825">
        <w:rPr>
          <w:rFonts w:ascii="Calibri" w:hAnsi="Calibri" w:cs="Calibri"/>
          <w:kern w:val="0"/>
          <w:sz w:val="22"/>
          <w:szCs w:val="22"/>
        </w:rPr>
        <w:t xml:space="preserve"> must be approved by the chair, in consultation with the DAC. </w:t>
      </w:r>
    </w:p>
    <w:p w14:paraId="5E62DCAB" w14:textId="77777777" w:rsidR="00A6094F" w:rsidRPr="006A5825" w:rsidRDefault="00A6094F" w:rsidP="00A6094F">
      <w:pPr>
        <w:rPr>
          <w:rFonts w:ascii="Calibri" w:hAnsi="Calibri" w:cs="Calibri"/>
          <w:kern w:val="0"/>
          <w:sz w:val="22"/>
          <w:szCs w:val="22"/>
        </w:rPr>
      </w:pPr>
    </w:p>
    <w:p w14:paraId="11B8758C" w14:textId="3C0FFDCB" w:rsidR="00A6094F" w:rsidRPr="006A5825" w:rsidRDefault="00A6094F" w:rsidP="00A6094F">
      <w:pPr>
        <w:rPr>
          <w:rFonts w:ascii="Calibri" w:hAnsi="Calibri" w:cs="Calibri"/>
          <w:kern w:val="0"/>
          <w:sz w:val="22"/>
          <w:szCs w:val="22"/>
        </w:rPr>
      </w:pPr>
      <w:r w:rsidRPr="006A5825">
        <w:rPr>
          <w:rFonts w:ascii="Calibri" w:hAnsi="Calibri" w:cs="Calibri"/>
          <w:kern w:val="0"/>
          <w:sz w:val="22"/>
          <w:szCs w:val="22"/>
        </w:rPr>
        <w:t xml:space="preserve">Faculty members who are not on track for meeting </w:t>
      </w:r>
      <w:r w:rsidR="006A5825">
        <w:rPr>
          <w:rFonts w:ascii="Calibri" w:hAnsi="Calibri" w:cs="Calibri"/>
          <w:kern w:val="0"/>
          <w:sz w:val="22"/>
          <w:szCs w:val="22"/>
        </w:rPr>
        <w:t>research</w:t>
      </w:r>
      <w:r w:rsidRPr="006A5825">
        <w:rPr>
          <w:rFonts w:ascii="Calibri" w:hAnsi="Calibri" w:cs="Calibri"/>
          <w:kern w:val="0"/>
          <w:sz w:val="22"/>
          <w:szCs w:val="22"/>
        </w:rPr>
        <w:t xml:space="preserve"> </w:t>
      </w:r>
      <w:r w:rsidR="006A5825">
        <w:rPr>
          <w:rFonts w:ascii="Calibri" w:hAnsi="Calibri" w:cs="Calibri"/>
          <w:kern w:val="0"/>
          <w:sz w:val="22"/>
          <w:szCs w:val="22"/>
        </w:rPr>
        <w:t>milestones</w:t>
      </w:r>
      <w:r w:rsidRPr="006A5825">
        <w:rPr>
          <w:rFonts w:ascii="Calibri" w:hAnsi="Calibri" w:cs="Calibri"/>
          <w:kern w:val="0"/>
          <w:sz w:val="22"/>
          <w:szCs w:val="22"/>
        </w:rPr>
        <w:t xml:space="preserve"> will receive reminders in their annual evaluations. If evidence of research productivity is insufficient at the time of the annual evaluation of faculty in the fourth year, the Departmental Affairs Committee can recommend to the chair that the faculty member be shifted from a 2-2 to a 2-3 or 3-3 course teaching load. See the section below for information on transitioning back to a research-productive workload.</w:t>
      </w:r>
    </w:p>
    <w:p w14:paraId="6C824523" w14:textId="77777777" w:rsidR="00A6094F" w:rsidRPr="006A5825" w:rsidRDefault="00A6094F" w:rsidP="00A6094F">
      <w:pPr>
        <w:rPr>
          <w:rFonts w:ascii="Calibri" w:hAnsi="Calibri" w:cs="Calibri"/>
          <w:kern w:val="0"/>
          <w:sz w:val="22"/>
          <w:szCs w:val="22"/>
        </w:rPr>
      </w:pPr>
    </w:p>
    <w:p w14:paraId="5CA34247" w14:textId="17F4A0A1" w:rsidR="00A6094F" w:rsidRPr="006A5825" w:rsidRDefault="00A6094F" w:rsidP="00A6094F">
      <w:pPr>
        <w:rPr>
          <w:rFonts w:ascii="Calibri" w:hAnsi="Calibri" w:cs="Calibri"/>
          <w:kern w:val="0"/>
          <w:sz w:val="22"/>
          <w:szCs w:val="22"/>
        </w:rPr>
      </w:pPr>
      <w:r w:rsidRPr="006A5825">
        <w:rPr>
          <w:rFonts w:ascii="Calibri" w:hAnsi="Calibri" w:cs="Calibri"/>
          <w:kern w:val="0"/>
          <w:sz w:val="22"/>
          <w:szCs w:val="22"/>
        </w:rPr>
        <w:lastRenderedPageBreak/>
        <w:t xml:space="preserve">If evidence of research productivity remains insufficient at the time of the annual evaluation of faculty in the eighth year, the Department Affairs Committee can recommend to the chair that the faculty member be shifted from </w:t>
      </w:r>
      <w:r w:rsidR="006A5825">
        <w:rPr>
          <w:rFonts w:ascii="Calibri" w:hAnsi="Calibri" w:cs="Calibri"/>
          <w:kern w:val="0"/>
          <w:sz w:val="22"/>
          <w:szCs w:val="22"/>
        </w:rPr>
        <w:t>their current teaching load to</w:t>
      </w:r>
      <w:r w:rsidRPr="006A5825">
        <w:rPr>
          <w:rFonts w:ascii="Calibri" w:hAnsi="Calibri" w:cs="Calibri"/>
          <w:kern w:val="0"/>
          <w:sz w:val="22"/>
          <w:szCs w:val="22"/>
        </w:rPr>
        <w:t xml:space="preserve"> a 2-3, 3-3, or 4-4 course teaching load. See the section below for information on transitioning back to a research-productive workload.</w:t>
      </w:r>
    </w:p>
    <w:p w14:paraId="7E3293A7" w14:textId="77777777" w:rsidR="00A6094F" w:rsidRPr="006A5825" w:rsidRDefault="00A6094F" w:rsidP="00A6094F">
      <w:pPr>
        <w:rPr>
          <w:rFonts w:ascii="Calibri" w:hAnsi="Calibri" w:cs="Calibri"/>
          <w:kern w:val="0"/>
          <w:sz w:val="22"/>
          <w:szCs w:val="22"/>
        </w:rPr>
      </w:pPr>
    </w:p>
    <w:p w14:paraId="75576327" w14:textId="77777777" w:rsidR="00A6094F" w:rsidRPr="006A5825" w:rsidRDefault="00A6094F" w:rsidP="00A6094F">
      <w:pPr>
        <w:rPr>
          <w:rFonts w:ascii="Calibri" w:hAnsi="Calibri" w:cs="Calibri"/>
          <w:kern w:val="0"/>
          <w:sz w:val="22"/>
          <w:szCs w:val="22"/>
          <w:u w:val="single"/>
        </w:rPr>
      </w:pPr>
      <w:r w:rsidRPr="006A5825">
        <w:rPr>
          <w:rFonts w:ascii="Calibri" w:hAnsi="Calibri" w:cs="Calibri"/>
          <w:b/>
          <w:bCs/>
          <w:kern w:val="0"/>
          <w:sz w:val="22"/>
          <w:szCs w:val="22"/>
          <w:u w:val="single"/>
        </w:rPr>
        <w:t>Special Circumstances</w:t>
      </w:r>
    </w:p>
    <w:p w14:paraId="3483C82E" w14:textId="159D4891" w:rsidR="00A6094F" w:rsidRDefault="00E3526E" w:rsidP="00A6094F">
      <w:pPr>
        <w:rPr>
          <w:rFonts w:ascii="Calibri" w:hAnsi="Calibri" w:cs="Calibri"/>
          <w:kern w:val="0"/>
          <w:sz w:val="22"/>
          <w:szCs w:val="22"/>
        </w:rPr>
      </w:pPr>
      <w:r>
        <w:rPr>
          <w:rFonts w:ascii="Calibri" w:hAnsi="Calibri" w:cs="Calibri"/>
          <w:kern w:val="0"/>
          <w:sz w:val="22"/>
          <w:szCs w:val="22"/>
        </w:rPr>
        <w:t xml:space="preserve">Faculty may request adjustments in the timeline for meeting post-tenure research milestones in light of </w:t>
      </w:r>
      <w:r w:rsidR="00A6094F" w:rsidRPr="006A5825">
        <w:rPr>
          <w:rFonts w:ascii="Calibri" w:hAnsi="Calibri" w:cs="Calibri"/>
          <w:kern w:val="0"/>
          <w:sz w:val="22"/>
          <w:szCs w:val="22"/>
        </w:rPr>
        <w:t>extraordinary circumstances, including but not limited to: the birth or adoption of a child; responsibility for managing the illness or disability of a family member; serious persistent personal health issues; death of a parent, spouse, child, or domestic partner; military service; or natural disaster. The faculty member is responsible for making the request, in writing, and providing necessary documentation when requesting a</w:t>
      </w:r>
      <w:r w:rsidR="009F08C2">
        <w:rPr>
          <w:rFonts w:ascii="Calibri" w:hAnsi="Calibri" w:cs="Calibri"/>
          <w:kern w:val="0"/>
          <w:sz w:val="22"/>
          <w:szCs w:val="22"/>
        </w:rPr>
        <w:t xml:space="preserve">n adjusted timeline </w:t>
      </w:r>
      <w:r w:rsidR="00A6094F" w:rsidRPr="006A5825">
        <w:rPr>
          <w:rFonts w:ascii="Calibri" w:hAnsi="Calibri" w:cs="Calibri"/>
          <w:kern w:val="0"/>
          <w:sz w:val="22"/>
          <w:szCs w:val="22"/>
        </w:rPr>
        <w:t xml:space="preserve">under these circumstances. </w:t>
      </w:r>
    </w:p>
    <w:p w14:paraId="418F79AF" w14:textId="77777777" w:rsidR="009F08C2" w:rsidRDefault="009F08C2" w:rsidP="00A6094F">
      <w:pPr>
        <w:rPr>
          <w:rFonts w:ascii="Calibri" w:hAnsi="Calibri" w:cs="Calibri"/>
          <w:kern w:val="0"/>
          <w:sz w:val="22"/>
          <w:szCs w:val="22"/>
        </w:rPr>
      </w:pPr>
    </w:p>
    <w:p w14:paraId="71FEDD78" w14:textId="66766C71" w:rsidR="009F08C2" w:rsidRDefault="009F08C2" w:rsidP="00A6094F">
      <w:pPr>
        <w:rPr>
          <w:rFonts w:ascii="Calibri" w:hAnsi="Calibri" w:cs="Calibri"/>
          <w:kern w:val="0"/>
          <w:sz w:val="22"/>
          <w:szCs w:val="22"/>
        </w:rPr>
      </w:pPr>
      <w:r>
        <w:rPr>
          <w:rFonts w:ascii="Calibri" w:hAnsi="Calibri" w:cs="Calibri"/>
          <w:kern w:val="0"/>
          <w:sz w:val="22"/>
          <w:szCs w:val="22"/>
        </w:rPr>
        <w:t xml:space="preserve">Faculty with a higher-than-average service load, usually owing to a responsibility like serving as Director of Graduate Studies or Director of Undergraduate Studies, may also request an adjusted timeline for meeting research milestones. </w:t>
      </w:r>
      <w:r w:rsidRPr="006A5825">
        <w:rPr>
          <w:rFonts w:ascii="Calibri" w:hAnsi="Calibri" w:cs="Calibri"/>
          <w:kern w:val="0"/>
          <w:sz w:val="22"/>
          <w:szCs w:val="22"/>
        </w:rPr>
        <w:t xml:space="preserve">The faculty member is responsible for making the request, in writing, and providing </w:t>
      </w:r>
      <w:r>
        <w:rPr>
          <w:rFonts w:ascii="Calibri" w:hAnsi="Calibri" w:cs="Calibri"/>
          <w:kern w:val="0"/>
          <w:sz w:val="22"/>
          <w:szCs w:val="22"/>
        </w:rPr>
        <w:t>evidence of progress. The chair must approve any adjusted timeline.</w:t>
      </w:r>
    </w:p>
    <w:p w14:paraId="67B7D6E1" w14:textId="77777777" w:rsidR="00A6094F" w:rsidRPr="006A5825" w:rsidRDefault="00A6094F" w:rsidP="00A6094F">
      <w:pPr>
        <w:rPr>
          <w:rFonts w:ascii="Calibri" w:hAnsi="Calibri" w:cs="Calibri"/>
          <w:kern w:val="0"/>
          <w:sz w:val="22"/>
          <w:szCs w:val="22"/>
        </w:rPr>
      </w:pPr>
    </w:p>
    <w:p w14:paraId="12BB610A" w14:textId="77777777" w:rsidR="00A6094F" w:rsidRPr="006A5825" w:rsidRDefault="00A6094F" w:rsidP="00A6094F">
      <w:pPr>
        <w:rPr>
          <w:rFonts w:ascii="Calibri" w:hAnsi="Calibri" w:cs="Calibri"/>
          <w:b/>
          <w:bCs/>
          <w:kern w:val="0"/>
          <w:sz w:val="22"/>
          <w:szCs w:val="22"/>
          <w:u w:val="single"/>
        </w:rPr>
      </w:pPr>
      <w:r w:rsidRPr="006A5825">
        <w:rPr>
          <w:rFonts w:ascii="Calibri" w:hAnsi="Calibri" w:cs="Calibri"/>
          <w:b/>
          <w:bCs/>
          <w:kern w:val="0"/>
          <w:sz w:val="22"/>
          <w:szCs w:val="22"/>
          <w:u w:val="single"/>
        </w:rPr>
        <w:t xml:space="preserve">Moving from a 2-3 or Heavier Course Teaching Load Back to a 2-2 </w:t>
      </w:r>
    </w:p>
    <w:p w14:paraId="3986744E" w14:textId="5B7BF734" w:rsidR="00A6094F" w:rsidRPr="006A5825" w:rsidRDefault="00A6094F" w:rsidP="00A6094F">
      <w:pPr>
        <w:rPr>
          <w:rFonts w:ascii="Calibri" w:hAnsi="Calibri" w:cs="Calibri"/>
          <w:kern w:val="0"/>
          <w:sz w:val="22"/>
          <w:szCs w:val="22"/>
        </w:rPr>
      </w:pPr>
      <w:r w:rsidRPr="006A5825">
        <w:rPr>
          <w:rFonts w:ascii="Calibri" w:hAnsi="Calibri" w:cs="Calibri"/>
          <w:kern w:val="0"/>
          <w:sz w:val="22"/>
          <w:szCs w:val="22"/>
        </w:rPr>
        <w:t>A tenured faculty member who has been shifted to (or opted for) a teaching load of 3-2, 3-3, 3-4 or 4-4</w:t>
      </w:r>
      <w:r w:rsidR="00CF4792">
        <w:rPr>
          <w:rFonts w:ascii="Calibri" w:hAnsi="Calibri" w:cs="Calibri"/>
          <w:kern w:val="0"/>
          <w:sz w:val="22"/>
          <w:szCs w:val="22"/>
        </w:rPr>
        <w:t xml:space="preserve"> </w:t>
      </w:r>
      <w:r w:rsidRPr="006A5825">
        <w:rPr>
          <w:rFonts w:ascii="Calibri" w:hAnsi="Calibri" w:cs="Calibri"/>
          <w:kern w:val="0"/>
          <w:sz w:val="22"/>
          <w:szCs w:val="22"/>
        </w:rPr>
        <w:t xml:space="preserve">may transition from a heavier to a lighter teaching load in one of the following ways: </w:t>
      </w:r>
    </w:p>
    <w:p w14:paraId="7628AC99" w14:textId="77777777" w:rsidR="00A6094F" w:rsidRPr="006A5825" w:rsidRDefault="00A6094F" w:rsidP="00A6094F">
      <w:pPr>
        <w:rPr>
          <w:rFonts w:ascii="Calibri" w:hAnsi="Calibri" w:cs="Calibri"/>
          <w:kern w:val="0"/>
          <w:sz w:val="22"/>
          <w:szCs w:val="22"/>
        </w:rPr>
      </w:pPr>
    </w:p>
    <w:p w14:paraId="117268BD" w14:textId="1F891CF3" w:rsidR="00A6094F" w:rsidRPr="006A5825" w:rsidRDefault="00A6094F" w:rsidP="00A6094F">
      <w:pPr>
        <w:pStyle w:val="ListParagraph"/>
        <w:numPr>
          <w:ilvl w:val="0"/>
          <w:numId w:val="1"/>
        </w:numPr>
        <w:rPr>
          <w:rFonts w:ascii="Calibri" w:hAnsi="Calibri" w:cs="Calibri"/>
          <w:kern w:val="0"/>
          <w:sz w:val="22"/>
          <w:szCs w:val="22"/>
        </w:rPr>
      </w:pPr>
      <w:r w:rsidRPr="006A5825">
        <w:rPr>
          <w:rFonts w:ascii="Calibri" w:hAnsi="Calibri" w:cs="Calibri"/>
          <w:kern w:val="0"/>
          <w:sz w:val="22"/>
          <w:szCs w:val="22"/>
        </w:rPr>
        <w:t xml:space="preserve">The faculty member may, with the agreement of the department chair, arrange to perform significant service (such as graduate advisor, director of graduate studies, or undergraduate advisor) </w:t>
      </w:r>
      <w:r w:rsidR="00E3526E" w:rsidRPr="006A5825">
        <w:rPr>
          <w:rFonts w:ascii="Calibri" w:hAnsi="Calibri" w:cs="Calibri"/>
          <w:kern w:val="0"/>
          <w:sz w:val="22"/>
          <w:szCs w:val="22"/>
        </w:rPr>
        <w:t>to</w:t>
      </w:r>
      <w:r w:rsidRPr="006A5825">
        <w:rPr>
          <w:rFonts w:ascii="Calibri" w:hAnsi="Calibri" w:cs="Calibri"/>
          <w:kern w:val="0"/>
          <w:sz w:val="22"/>
          <w:szCs w:val="22"/>
        </w:rPr>
        <w:t xml:space="preserve"> transfer an additional 10 to 20 percent of their workload from teaching to service. </w:t>
      </w:r>
    </w:p>
    <w:p w14:paraId="6D28D793" w14:textId="55EE782B" w:rsidR="00A6094F" w:rsidRPr="006A5825" w:rsidRDefault="00CF4792" w:rsidP="00A6094F">
      <w:pPr>
        <w:pStyle w:val="ListParagraph"/>
        <w:numPr>
          <w:ilvl w:val="0"/>
          <w:numId w:val="1"/>
        </w:numPr>
        <w:rPr>
          <w:rFonts w:ascii="Calibri" w:hAnsi="Calibri" w:cs="Calibri"/>
          <w:kern w:val="0"/>
          <w:sz w:val="22"/>
          <w:szCs w:val="22"/>
        </w:rPr>
      </w:pPr>
      <w:r>
        <w:rPr>
          <w:rFonts w:ascii="Calibri" w:hAnsi="Calibri" w:cs="Calibri"/>
          <w:kern w:val="0"/>
          <w:sz w:val="22"/>
          <w:szCs w:val="22"/>
        </w:rPr>
        <w:t>T</w:t>
      </w:r>
      <w:r w:rsidR="00A6094F" w:rsidRPr="006A5825">
        <w:rPr>
          <w:rFonts w:ascii="Calibri" w:hAnsi="Calibri" w:cs="Calibri"/>
          <w:kern w:val="0"/>
          <w:sz w:val="22"/>
          <w:szCs w:val="22"/>
        </w:rPr>
        <w:t>he faculty member may submit a research proposal to the Department Chair</w:t>
      </w:r>
      <w:r>
        <w:rPr>
          <w:rFonts w:ascii="Calibri" w:hAnsi="Calibri" w:cs="Calibri"/>
          <w:kern w:val="0"/>
          <w:sz w:val="22"/>
          <w:szCs w:val="22"/>
        </w:rPr>
        <w:t xml:space="preserve"> by January of the year they are ready for a readjustment</w:t>
      </w:r>
      <w:r w:rsidR="00A6094F" w:rsidRPr="006A5825">
        <w:rPr>
          <w:rFonts w:ascii="Calibri" w:hAnsi="Calibri" w:cs="Calibri"/>
          <w:kern w:val="0"/>
          <w:sz w:val="22"/>
          <w:szCs w:val="22"/>
        </w:rPr>
        <w:t xml:space="preserve">, which will be shared with the DAC. The research proposal should include specific benchmarks (such as sources to be consulted, research trips to be made, conference papers to be presented, and draft articles or book chapters or elements of digital projects to be completed). The proposal should indicate dates by which those benchmarks will be met. The department chair, in consultation with the DAC, will review the research proposal and may require amendments. If the department chair accepts the research proposal, s/he will notify the faculty member in the Spring and then modify the faculty member’s teaching load when setting workloads that August. If the faculty member fails to meet the benchmarks as outlined in the research plan, the department chair will return the faculty member to a 2-3 or heavier teaching load. </w:t>
      </w:r>
    </w:p>
    <w:p w14:paraId="52E31617" w14:textId="77777777" w:rsidR="00A6094F" w:rsidRPr="006A5825" w:rsidRDefault="00A6094F" w:rsidP="00A6094F">
      <w:pPr>
        <w:rPr>
          <w:rFonts w:ascii="Calibri" w:hAnsi="Calibri" w:cs="Calibri"/>
          <w:kern w:val="0"/>
          <w:sz w:val="22"/>
          <w:szCs w:val="22"/>
        </w:rPr>
      </w:pPr>
    </w:p>
    <w:p w14:paraId="6CD35B93" w14:textId="77777777" w:rsidR="00A6094F" w:rsidRPr="006A5825" w:rsidRDefault="00A6094F" w:rsidP="00A6094F">
      <w:pPr>
        <w:rPr>
          <w:rFonts w:ascii="Calibri" w:hAnsi="Calibri" w:cs="Calibri"/>
          <w:kern w:val="0"/>
          <w:sz w:val="22"/>
          <w:szCs w:val="22"/>
          <w:u w:val="single"/>
        </w:rPr>
      </w:pPr>
      <w:r w:rsidRPr="006A5825">
        <w:rPr>
          <w:rFonts w:ascii="Calibri" w:hAnsi="Calibri" w:cs="Calibri"/>
          <w:b/>
          <w:bCs/>
          <w:kern w:val="0"/>
          <w:sz w:val="22"/>
          <w:szCs w:val="22"/>
          <w:u w:val="single"/>
        </w:rPr>
        <w:t>Process for Faculty Complaints</w:t>
      </w:r>
    </w:p>
    <w:p w14:paraId="036D13D6" w14:textId="77777777" w:rsidR="00A6094F" w:rsidRPr="006A5825" w:rsidRDefault="00A6094F" w:rsidP="00A6094F">
      <w:pPr>
        <w:rPr>
          <w:rFonts w:ascii="Calibri" w:hAnsi="Calibri" w:cs="Calibri"/>
          <w:kern w:val="0"/>
          <w:sz w:val="22"/>
          <w:szCs w:val="22"/>
        </w:rPr>
      </w:pPr>
      <w:r w:rsidRPr="006A5825">
        <w:rPr>
          <w:rFonts w:ascii="Calibri" w:hAnsi="Calibri" w:cs="Calibri"/>
          <w:kern w:val="0"/>
          <w:sz w:val="22"/>
          <w:szCs w:val="22"/>
        </w:rPr>
        <w:t xml:space="preserve">Faculty member complaints about workload will be handled as follows: </w:t>
      </w:r>
    </w:p>
    <w:p w14:paraId="0A9EAEC5" w14:textId="77777777" w:rsidR="00A6094F" w:rsidRPr="006A5825" w:rsidRDefault="00A6094F" w:rsidP="00A6094F">
      <w:pPr>
        <w:rPr>
          <w:rFonts w:ascii="Calibri" w:hAnsi="Calibri" w:cs="Calibri"/>
          <w:kern w:val="0"/>
          <w:sz w:val="22"/>
          <w:szCs w:val="22"/>
        </w:rPr>
      </w:pPr>
    </w:p>
    <w:p w14:paraId="04A36D9F" w14:textId="77777777" w:rsidR="00A6094F" w:rsidRPr="006A5825" w:rsidRDefault="00A6094F" w:rsidP="00A6094F">
      <w:pPr>
        <w:pStyle w:val="ListParagraph"/>
        <w:numPr>
          <w:ilvl w:val="0"/>
          <w:numId w:val="2"/>
        </w:numPr>
        <w:rPr>
          <w:rFonts w:ascii="Calibri" w:hAnsi="Calibri" w:cs="Calibri"/>
          <w:kern w:val="0"/>
          <w:sz w:val="22"/>
          <w:szCs w:val="22"/>
        </w:rPr>
      </w:pPr>
      <w:r w:rsidRPr="006A5825">
        <w:rPr>
          <w:rFonts w:ascii="Calibri" w:hAnsi="Calibri" w:cs="Calibri"/>
          <w:kern w:val="0"/>
          <w:sz w:val="22"/>
          <w:szCs w:val="22"/>
        </w:rPr>
        <w:t xml:space="preserve">Faculty members wishing to dispute their course-load for the following academic year will file their complaint with the Department Chair and the Department Affairs Committee within 5 business days of the day when the chair has notified faculty of their workload assignments for the academic year. The faculty member’s complaint should include an evidence-based argument as to why the proposed workload assignment is not in conformity with the guidelines laid forth in this policy. </w:t>
      </w:r>
    </w:p>
    <w:p w14:paraId="0CB12D21" w14:textId="77777777" w:rsidR="00A6094F" w:rsidRPr="006A5825" w:rsidRDefault="00A6094F" w:rsidP="00A6094F">
      <w:pPr>
        <w:pStyle w:val="ListParagraph"/>
        <w:numPr>
          <w:ilvl w:val="0"/>
          <w:numId w:val="2"/>
        </w:numPr>
        <w:rPr>
          <w:rFonts w:ascii="Calibri" w:hAnsi="Calibri" w:cs="Calibri"/>
          <w:kern w:val="0"/>
          <w:sz w:val="22"/>
          <w:szCs w:val="22"/>
        </w:rPr>
      </w:pPr>
      <w:r w:rsidRPr="006A5825">
        <w:rPr>
          <w:rFonts w:ascii="Calibri" w:hAnsi="Calibri" w:cs="Calibri"/>
          <w:kern w:val="0"/>
          <w:sz w:val="22"/>
          <w:szCs w:val="22"/>
        </w:rPr>
        <w:t xml:space="preserve">Within five business days of receipt of the faculty member’s complaint, the Department Chair and the DAC will review the faculty member’s complaint in light of the guidelines in this policy. If </w:t>
      </w:r>
      <w:r w:rsidRPr="006A5825">
        <w:rPr>
          <w:rFonts w:ascii="Calibri" w:hAnsi="Calibri" w:cs="Calibri"/>
          <w:kern w:val="0"/>
          <w:sz w:val="22"/>
          <w:szCs w:val="22"/>
        </w:rPr>
        <w:lastRenderedPageBreak/>
        <w:t xml:space="preserve">the faculty member and/or the chair and/or the DAC desire, the faculty member may meet with the chair and/or the DAC in person to discuss the complaint. </w:t>
      </w:r>
    </w:p>
    <w:p w14:paraId="041CFF98" w14:textId="77777777" w:rsidR="00A6094F" w:rsidRPr="006A5825" w:rsidRDefault="00A6094F" w:rsidP="00A6094F">
      <w:pPr>
        <w:pStyle w:val="ListParagraph"/>
        <w:numPr>
          <w:ilvl w:val="0"/>
          <w:numId w:val="2"/>
        </w:numPr>
        <w:rPr>
          <w:rFonts w:ascii="Calibri" w:hAnsi="Calibri" w:cs="Calibri"/>
          <w:kern w:val="0"/>
          <w:sz w:val="22"/>
          <w:szCs w:val="22"/>
        </w:rPr>
      </w:pPr>
      <w:r w:rsidRPr="006A5825">
        <w:rPr>
          <w:rFonts w:ascii="Calibri" w:hAnsi="Calibri" w:cs="Calibri"/>
          <w:kern w:val="0"/>
          <w:sz w:val="22"/>
          <w:szCs w:val="22"/>
        </w:rPr>
        <w:t xml:space="preserve">Within seven business days of receipt of the faculty member’s complaint, the Department Chair, in consultation with the DAC, will prepare a written response to the faculty member’s complaint. The response should incorporate an evidence-based argument as to why the chair has chosen either to change or not to change the original workload assignment. </w:t>
      </w:r>
    </w:p>
    <w:p w14:paraId="67860AF6" w14:textId="77777777" w:rsidR="00A6094F" w:rsidRPr="006A5825" w:rsidRDefault="00A6094F" w:rsidP="00A6094F">
      <w:pPr>
        <w:pStyle w:val="ListParagraph"/>
        <w:numPr>
          <w:ilvl w:val="0"/>
          <w:numId w:val="2"/>
        </w:numPr>
        <w:rPr>
          <w:rFonts w:ascii="Calibri" w:hAnsi="Calibri" w:cs="Calibri"/>
          <w:kern w:val="0"/>
          <w:sz w:val="22"/>
          <w:szCs w:val="22"/>
        </w:rPr>
      </w:pPr>
      <w:r w:rsidRPr="006A5825">
        <w:rPr>
          <w:rFonts w:ascii="Calibri" w:hAnsi="Calibri" w:cs="Calibri"/>
          <w:kern w:val="0"/>
          <w:sz w:val="22"/>
          <w:szCs w:val="22"/>
        </w:rPr>
        <w:t xml:space="preserve">If the chair has declined to change the original workload assignment, the faculty member may take their complaint to the college level as a formal grievance, where it will be handled in accordance with the procedures established by the college. </w:t>
      </w:r>
    </w:p>
    <w:p w14:paraId="1C5F67AB" w14:textId="77777777" w:rsidR="00A6094F" w:rsidRPr="006A5825" w:rsidRDefault="00A6094F" w:rsidP="00A6094F">
      <w:pPr>
        <w:rPr>
          <w:rFonts w:ascii="Calibri" w:hAnsi="Calibri" w:cs="Calibri"/>
          <w:kern w:val="0"/>
          <w:sz w:val="22"/>
          <w:szCs w:val="22"/>
        </w:rPr>
      </w:pPr>
    </w:p>
    <w:p w14:paraId="1318DEF8" w14:textId="77777777" w:rsidR="00A6094F" w:rsidRPr="006A5825" w:rsidRDefault="00A6094F" w:rsidP="00A6094F">
      <w:pPr>
        <w:rPr>
          <w:rFonts w:ascii="Calibri" w:hAnsi="Calibri" w:cs="Calibri"/>
          <w:kern w:val="0"/>
          <w:sz w:val="22"/>
          <w:szCs w:val="22"/>
        </w:rPr>
      </w:pPr>
    </w:p>
    <w:p w14:paraId="544AE058" w14:textId="45B61BFF" w:rsidR="00A95D01" w:rsidRDefault="00A6094F" w:rsidP="00A6094F">
      <w:pPr>
        <w:rPr>
          <w:rFonts w:ascii="Calibri" w:hAnsi="Calibri" w:cs="Calibri"/>
          <w:kern w:val="0"/>
          <w:sz w:val="22"/>
          <w:szCs w:val="22"/>
        </w:rPr>
      </w:pPr>
      <w:r w:rsidRPr="006A5825">
        <w:rPr>
          <w:rFonts w:ascii="Calibri" w:hAnsi="Calibri" w:cs="Calibri"/>
          <w:kern w:val="0"/>
          <w:sz w:val="22"/>
          <w:szCs w:val="22"/>
        </w:rPr>
        <w:t>Prepared 12/</w:t>
      </w:r>
      <w:r w:rsidR="00A95D01">
        <w:rPr>
          <w:rFonts w:ascii="Calibri" w:hAnsi="Calibri" w:cs="Calibri"/>
          <w:kern w:val="0"/>
          <w:sz w:val="22"/>
          <w:szCs w:val="22"/>
        </w:rPr>
        <w:t>20</w:t>
      </w:r>
      <w:r w:rsidRPr="006A5825">
        <w:rPr>
          <w:rFonts w:ascii="Calibri" w:hAnsi="Calibri" w:cs="Calibri"/>
          <w:kern w:val="0"/>
          <w:sz w:val="22"/>
          <w:szCs w:val="22"/>
        </w:rPr>
        <w:t>1</w:t>
      </w:r>
      <w:r w:rsidR="00A95D01">
        <w:rPr>
          <w:rFonts w:ascii="Calibri" w:hAnsi="Calibri" w:cs="Calibri"/>
          <w:kern w:val="0"/>
          <w:sz w:val="22"/>
          <w:szCs w:val="22"/>
        </w:rPr>
        <w:t>8</w:t>
      </w:r>
    </w:p>
    <w:p w14:paraId="6EF8D3B0" w14:textId="77777777" w:rsidR="00A95D01" w:rsidRDefault="00A95D01" w:rsidP="00A6094F">
      <w:pPr>
        <w:rPr>
          <w:rFonts w:ascii="Calibri" w:hAnsi="Calibri" w:cs="Calibri"/>
          <w:kern w:val="0"/>
          <w:sz w:val="22"/>
          <w:szCs w:val="22"/>
        </w:rPr>
      </w:pPr>
      <w:r>
        <w:rPr>
          <w:rFonts w:ascii="Calibri" w:hAnsi="Calibri" w:cs="Calibri"/>
          <w:kern w:val="0"/>
          <w:sz w:val="22"/>
          <w:szCs w:val="22"/>
        </w:rPr>
        <w:t>Revised 8/2019</w:t>
      </w:r>
    </w:p>
    <w:p w14:paraId="67260E6A" w14:textId="77777777" w:rsidR="00A95D01" w:rsidRDefault="00A95D01" w:rsidP="00A6094F">
      <w:pPr>
        <w:rPr>
          <w:rFonts w:ascii="Calibri" w:hAnsi="Calibri" w:cs="Calibri"/>
          <w:kern w:val="0"/>
          <w:sz w:val="22"/>
          <w:szCs w:val="22"/>
        </w:rPr>
      </w:pPr>
      <w:r>
        <w:rPr>
          <w:rFonts w:ascii="Calibri" w:hAnsi="Calibri" w:cs="Calibri"/>
          <w:kern w:val="0"/>
          <w:sz w:val="22"/>
          <w:szCs w:val="22"/>
        </w:rPr>
        <w:t>A</w:t>
      </w:r>
      <w:r w:rsidR="00A6094F" w:rsidRPr="006A5825">
        <w:rPr>
          <w:rFonts w:ascii="Calibri" w:hAnsi="Calibri" w:cs="Calibri"/>
          <w:kern w:val="0"/>
          <w:sz w:val="22"/>
          <w:szCs w:val="22"/>
        </w:rPr>
        <w:t>pproved by the Provost’s office 10</w:t>
      </w:r>
      <w:r>
        <w:rPr>
          <w:rFonts w:ascii="Calibri" w:hAnsi="Calibri" w:cs="Calibri"/>
          <w:kern w:val="0"/>
          <w:sz w:val="22"/>
          <w:szCs w:val="22"/>
        </w:rPr>
        <w:t>/20</w:t>
      </w:r>
      <w:r w:rsidR="00A6094F" w:rsidRPr="006A5825">
        <w:rPr>
          <w:rFonts w:ascii="Calibri" w:hAnsi="Calibri" w:cs="Calibri"/>
          <w:kern w:val="0"/>
          <w:sz w:val="22"/>
          <w:szCs w:val="22"/>
        </w:rPr>
        <w:t>19</w:t>
      </w:r>
    </w:p>
    <w:p w14:paraId="3C2E8D63" w14:textId="072C6B74" w:rsidR="00A6094F" w:rsidRPr="006A5825" w:rsidRDefault="00A95D01" w:rsidP="00A6094F">
      <w:pPr>
        <w:rPr>
          <w:rFonts w:ascii="Calibri" w:hAnsi="Calibri" w:cs="Calibri"/>
          <w:kern w:val="0"/>
          <w:sz w:val="22"/>
          <w:szCs w:val="22"/>
        </w:rPr>
      </w:pPr>
      <w:r>
        <w:rPr>
          <w:rFonts w:ascii="Calibri" w:hAnsi="Calibri" w:cs="Calibri"/>
          <w:kern w:val="0"/>
          <w:sz w:val="22"/>
          <w:szCs w:val="22"/>
        </w:rPr>
        <w:t>Revised 3/2025</w:t>
      </w:r>
    </w:p>
    <w:p w14:paraId="22890D6F" w14:textId="77777777" w:rsidR="00225E3E" w:rsidRPr="006A5825" w:rsidRDefault="00225E3E">
      <w:pPr>
        <w:rPr>
          <w:rFonts w:ascii="Calibri" w:hAnsi="Calibri" w:cs="Calibri"/>
          <w:sz w:val="22"/>
          <w:szCs w:val="22"/>
        </w:rPr>
      </w:pPr>
    </w:p>
    <w:sectPr w:rsidR="00225E3E" w:rsidRPr="006A58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4A0CDD"/>
    <w:multiLevelType w:val="hybridMultilevel"/>
    <w:tmpl w:val="5914AB48"/>
    <w:lvl w:ilvl="0" w:tplc="45F663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500196B"/>
    <w:multiLevelType w:val="hybridMultilevel"/>
    <w:tmpl w:val="B24A4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6475C4"/>
    <w:multiLevelType w:val="hybridMultilevel"/>
    <w:tmpl w:val="489A8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9850566">
    <w:abstractNumId w:val="2"/>
  </w:num>
  <w:num w:numId="2" w16cid:durableId="387731403">
    <w:abstractNumId w:val="1"/>
  </w:num>
  <w:num w:numId="3" w16cid:durableId="586814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94F"/>
    <w:rsid w:val="000421A1"/>
    <w:rsid w:val="00064355"/>
    <w:rsid w:val="000C32A7"/>
    <w:rsid w:val="001D22CD"/>
    <w:rsid w:val="00225E3E"/>
    <w:rsid w:val="00594606"/>
    <w:rsid w:val="005F0F57"/>
    <w:rsid w:val="00627CA9"/>
    <w:rsid w:val="006A5825"/>
    <w:rsid w:val="007D205D"/>
    <w:rsid w:val="007F228D"/>
    <w:rsid w:val="0089104E"/>
    <w:rsid w:val="008920D3"/>
    <w:rsid w:val="009E272E"/>
    <w:rsid w:val="009F08C2"/>
    <w:rsid w:val="00A6094F"/>
    <w:rsid w:val="00A95D01"/>
    <w:rsid w:val="00BA12E6"/>
    <w:rsid w:val="00C520CC"/>
    <w:rsid w:val="00CE4FAE"/>
    <w:rsid w:val="00CF4792"/>
    <w:rsid w:val="00E3526E"/>
    <w:rsid w:val="00F24445"/>
    <w:rsid w:val="00F73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E69767"/>
  <w15:chartTrackingRefBased/>
  <w15:docId w15:val="{4891E63F-36F1-904E-AC71-45F47E037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94F"/>
  </w:style>
  <w:style w:type="paragraph" w:styleId="Heading1">
    <w:name w:val="heading 1"/>
    <w:basedOn w:val="Normal"/>
    <w:next w:val="Normal"/>
    <w:link w:val="Heading1Char"/>
    <w:uiPriority w:val="9"/>
    <w:qFormat/>
    <w:rsid w:val="00A609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09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09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09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09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094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094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094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094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09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09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09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09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09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09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09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09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094F"/>
    <w:rPr>
      <w:rFonts w:eastAsiaTheme="majorEastAsia" w:cstheme="majorBidi"/>
      <w:color w:val="272727" w:themeColor="text1" w:themeTint="D8"/>
    </w:rPr>
  </w:style>
  <w:style w:type="paragraph" w:styleId="Title">
    <w:name w:val="Title"/>
    <w:basedOn w:val="Normal"/>
    <w:next w:val="Normal"/>
    <w:link w:val="TitleChar"/>
    <w:uiPriority w:val="10"/>
    <w:qFormat/>
    <w:rsid w:val="00A6094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09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094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09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094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6094F"/>
    <w:rPr>
      <w:i/>
      <w:iCs/>
      <w:color w:val="404040" w:themeColor="text1" w:themeTint="BF"/>
    </w:rPr>
  </w:style>
  <w:style w:type="paragraph" w:styleId="ListParagraph">
    <w:name w:val="List Paragraph"/>
    <w:basedOn w:val="Normal"/>
    <w:uiPriority w:val="34"/>
    <w:qFormat/>
    <w:rsid w:val="00A6094F"/>
    <w:pPr>
      <w:ind w:left="720"/>
      <w:contextualSpacing/>
    </w:pPr>
  </w:style>
  <w:style w:type="character" w:styleId="IntenseEmphasis">
    <w:name w:val="Intense Emphasis"/>
    <w:basedOn w:val="DefaultParagraphFont"/>
    <w:uiPriority w:val="21"/>
    <w:qFormat/>
    <w:rsid w:val="00A6094F"/>
    <w:rPr>
      <w:i/>
      <w:iCs/>
      <w:color w:val="0F4761" w:themeColor="accent1" w:themeShade="BF"/>
    </w:rPr>
  </w:style>
  <w:style w:type="paragraph" w:styleId="IntenseQuote">
    <w:name w:val="Intense Quote"/>
    <w:basedOn w:val="Normal"/>
    <w:next w:val="Normal"/>
    <w:link w:val="IntenseQuoteChar"/>
    <w:uiPriority w:val="30"/>
    <w:qFormat/>
    <w:rsid w:val="00A609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094F"/>
    <w:rPr>
      <w:i/>
      <w:iCs/>
      <w:color w:val="0F4761" w:themeColor="accent1" w:themeShade="BF"/>
    </w:rPr>
  </w:style>
  <w:style w:type="character" w:styleId="IntenseReference">
    <w:name w:val="Intense Reference"/>
    <w:basedOn w:val="DefaultParagraphFont"/>
    <w:uiPriority w:val="32"/>
    <w:qFormat/>
    <w:rsid w:val="00A6094F"/>
    <w:rPr>
      <w:b/>
      <w:bCs/>
      <w:smallCaps/>
      <w:color w:val="0F4761" w:themeColor="accent1" w:themeShade="BF"/>
      <w:spacing w:val="5"/>
    </w:rPr>
  </w:style>
  <w:style w:type="character" w:styleId="Hyperlink">
    <w:name w:val="Hyperlink"/>
    <w:basedOn w:val="DefaultParagraphFont"/>
    <w:uiPriority w:val="99"/>
    <w:unhideWhenUsed/>
    <w:rsid w:val="00A6094F"/>
    <w:rPr>
      <w:color w:val="467886" w:themeColor="hyperlink"/>
      <w:u w:val="single"/>
    </w:rPr>
  </w:style>
  <w:style w:type="character" w:styleId="FollowedHyperlink">
    <w:name w:val="FollowedHyperlink"/>
    <w:basedOn w:val="DefaultParagraphFont"/>
    <w:uiPriority w:val="99"/>
    <w:semiHidden/>
    <w:unhideWhenUsed/>
    <w:rsid w:val="00A6094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story.unt.edu/department-information/p_and_t_guidelines_adopted_aug_2024.pdf" TargetMode="External"/><Relationship Id="rId3" Type="http://schemas.openxmlformats.org/officeDocument/2006/relationships/settings" Target="settings.xml"/><Relationship Id="rId7" Type="http://schemas.openxmlformats.org/officeDocument/2006/relationships/hyperlink" Target="https://history.unt.edu/department-information/gsm_point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istory.unt.edu/department-information/dac_satisfactory_and_unsatisfactory_statement_revised_feb_2024_002.pdf" TargetMode="External"/><Relationship Id="rId5" Type="http://schemas.openxmlformats.org/officeDocument/2006/relationships/hyperlink" Target="https://policy.unt.edu/policy/06-02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14</TotalTime>
  <Pages>5</Pages>
  <Words>1831</Words>
  <Characters>10442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Moran, Rachel</dc:creator>
  <cp:keywords/>
  <dc:description/>
  <cp:lastModifiedBy>Moran, Rachel</cp:lastModifiedBy>
  <cp:revision>3</cp:revision>
  <dcterms:created xsi:type="dcterms:W3CDTF">2025-03-04T17:48:00Z</dcterms:created>
  <dcterms:modified xsi:type="dcterms:W3CDTF">2025-03-04T21:30:00Z</dcterms:modified>
</cp:coreProperties>
</file>